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61D" w:rsidRDefault="009664F6">
      <w:pPr>
        <w:pStyle w:val="Standard"/>
        <w:autoSpaceDE w:val="0"/>
        <w:spacing w:line="400" w:lineRule="exact"/>
        <w:jc w:val="center"/>
      </w:pPr>
      <w:bookmarkStart w:id="0" w:name="_GoBack"/>
      <w:bookmarkEnd w:id="0"/>
      <w:r>
        <w:rPr>
          <w:rFonts w:ascii="標楷體" w:eastAsia="標楷體" w:hAnsi="標楷體" w:cs="標楷體"/>
          <w:b/>
          <w:color w:val="000000"/>
          <w:sz w:val="36"/>
          <w:szCs w:val="36"/>
        </w:rPr>
        <w:t>私立兒童課後照顧服務中心個人資料檔案安全維護計畫實施辦法</w:t>
      </w:r>
    </w:p>
    <w:p w:rsidR="0061261D" w:rsidRDefault="0061261D">
      <w:pPr>
        <w:pStyle w:val="Standard"/>
        <w:autoSpaceDE w:val="0"/>
        <w:spacing w:line="400" w:lineRule="exact"/>
        <w:jc w:val="center"/>
        <w:rPr>
          <w:rFonts w:ascii="標楷體" w:eastAsia="標楷體" w:hAnsi="標楷體" w:cs="標楷體"/>
          <w:b/>
          <w:color w:val="000000"/>
          <w:sz w:val="32"/>
          <w:szCs w:val="32"/>
        </w:rPr>
      </w:pPr>
    </w:p>
    <w:p w:rsidR="0061261D" w:rsidRDefault="009664F6">
      <w:pPr>
        <w:pStyle w:val="Standard"/>
        <w:wordWrap w:val="0"/>
        <w:overflowPunct w:val="0"/>
        <w:autoSpaceDE w:val="0"/>
        <w:snapToGrid w:val="0"/>
        <w:ind w:left="848" w:hanging="848"/>
        <w:jc w:val="both"/>
      </w:pPr>
      <w:r>
        <w:rPr>
          <w:rFonts w:ascii="標楷體" w:eastAsia="標楷體" w:hAnsi="標楷體" w:cs="標楷體"/>
          <w:color w:val="000000"/>
          <w:sz w:val="28"/>
          <w:szCs w:val="28"/>
        </w:rPr>
        <w:t>第一條    本辦法依個人資料保護法(以下簡稱本法)第二十七條第三項規定訂定之。</w:t>
      </w:r>
    </w:p>
    <w:p w:rsidR="0061261D" w:rsidRDefault="009664F6">
      <w:pPr>
        <w:pStyle w:val="Standard"/>
        <w:wordWrap w:val="0"/>
        <w:overflowPunct w:val="0"/>
        <w:autoSpaceDE w:val="0"/>
        <w:snapToGrid w:val="0"/>
        <w:spacing w:before="180"/>
        <w:ind w:left="848" w:hanging="848"/>
        <w:jc w:val="both"/>
      </w:pPr>
      <w:r>
        <w:rPr>
          <w:rFonts w:ascii="標楷體" w:eastAsia="標楷體" w:hAnsi="標楷體" w:cs="標楷體"/>
          <w:color w:val="000000"/>
          <w:sz w:val="28"/>
          <w:szCs w:val="28"/>
        </w:rPr>
        <w:t>第二條    本辦法所稱主管機關：在中央為教育部；在直轄市為直轄市政府；在縣(市)為縣(市)政府。</w:t>
      </w:r>
    </w:p>
    <w:p w:rsidR="0061261D" w:rsidRDefault="009664F6">
      <w:pPr>
        <w:pStyle w:val="Standard"/>
        <w:wordWrap w:val="0"/>
        <w:overflowPunct w:val="0"/>
        <w:autoSpaceDE w:val="0"/>
        <w:snapToGrid w:val="0"/>
        <w:spacing w:before="180"/>
        <w:ind w:left="848" w:hanging="848"/>
        <w:jc w:val="both"/>
      </w:pPr>
      <w:r>
        <w:rPr>
          <w:rFonts w:ascii="標楷體" w:eastAsia="標楷體" w:hAnsi="標楷體" w:cs="標楷體"/>
          <w:color w:val="000000"/>
          <w:sz w:val="28"/>
          <w:szCs w:val="28"/>
        </w:rPr>
        <w:t>第三條    本辦法用詞，定義如下：</w:t>
      </w:r>
    </w:p>
    <w:p w:rsidR="0061261D" w:rsidRDefault="009664F6">
      <w:pPr>
        <w:pStyle w:val="Standard"/>
        <w:autoSpaceDE w:val="0"/>
        <w:snapToGrid w:val="0"/>
        <w:ind w:left="1945" w:hanging="546"/>
      </w:pPr>
      <w:r>
        <w:rPr>
          <w:rFonts w:ascii="標楷體" w:eastAsia="標楷體" w:hAnsi="標楷體" w:cs="標楷體"/>
          <w:color w:val="000000"/>
          <w:sz w:val="28"/>
          <w:szCs w:val="28"/>
        </w:rPr>
        <w:t>一、專責人員：指由私立兒童課後照顧服務中心(以下</w:t>
      </w:r>
      <w:proofErr w:type="gramStart"/>
      <w:r>
        <w:rPr>
          <w:rFonts w:ascii="標楷體" w:eastAsia="標楷體" w:hAnsi="標楷體" w:cs="標楷體"/>
          <w:color w:val="000000"/>
          <w:sz w:val="28"/>
          <w:szCs w:val="28"/>
        </w:rPr>
        <w:t>簡稱課照中心</w:t>
      </w:r>
      <w:proofErr w:type="gramEnd"/>
      <w:r>
        <w:rPr>
          <w:rFonts w:ascii="標楷體" w:eastAsia="標楷體" w:hAnsi="標楷體" w:cs="標楷體"/>
          <w:color w:val="000000"/>
          <w:sz w:val="28"/>
          <w:szCs w:val="28"/>
        </w:rPr>
        <w:t>)負責人擔任或指定，負責督導個人資料檔案安全維護計畫(以下簡稱安全維護計畫)訂定及執行人員。</w:t>
      </w:r>
    </w:p>
    <w:p w:rsidR="0061261D" w:rsidRDefault="009664F6">
      <w:pPr>
        <w:pStyle w:val="Standard"/>
        <w:autoSpaceDE w:val="0"/>
        <w:snapToGrid w:val="0"/>
        <w:ind w:left="1945" w:hanging="546"/>
      </w:pPr>
      <w:r>
        <w:rPr>
          <w:rFonts w:ascii="標楷體" w:eastAsia="標楷體" w:hAnsi="標楷體" w:cs="標楷體"/>
          <w:color w:val="000000"/>
          <w:sz w:val="28"/>
          <w:szCs w:val="28"/>
        </w:rPr>
        <w:t>二、查核人員：指</w:t>
      </w:r>
      <w:proofErr w:type="gramStart"/>
      <w:r>
        <w:rPr>
          <w:rFonts w:ascii="標楷體" w:eastAsia="標楷體" w:hAnsi="標楷體" w:cs="標楷體"/>
          <w:color w:val="000000"/>
          <w:sz w:val="28"/>
          <w:szCs w:val="28"/>
        </w:rPr>
        <w:t>由課照</w:t>
      </w:r>
      <w:proofErr w:type="gramEnd"/>
      <w:r>
        <w:rPr>
          <w:rFonts w:ascii="標楷體" w:eastAsia="標楷體" w:hAnsi="標楷體" w:cs="標楷體"/>
          <w:color w:val="000000"/>
          <w:sz w:val="28"/>
          <w:szCs w:val="28"/>
        </w:rPr>
        <w:t>中心負責人指定，負責評核安全維護計畫執行情形及成效之人員。</w:t>
      </w:r>
    </w:p>
    <w:p w:rsidR="0061261D" w:rsidRDefault="009664F6">
      <w:pPr>
        <w:pStyle w:val="Standard"/>
        <w:autoSpaceDE w:val="0"/>
        <w:snapToGrid w:val="0"/>
        <w:ind w:left="1945" w:hanging="546"/>
      </w:pPr>
      <w:r>
        <w:rPr>
          <w:rFonts w:ascii="標楷體" w:eastAsia="標楷體" w:hAnsi="標楷體" w:cs="標楷體"/>
          <w:color w:val="000000"/>
          <w:sz w:val="28"/>
          <w:szCs w:val="28"/>
        </w:rPr>
        <w:t>三、所屬人員：</w:t>
      </w:r>
      <w:proofErr w:type="gramStart"/>
      <w:r>
        <w:rPr>
          <w:rFonts w:ascii="標楷體" w:eastAsia="標楷體" w:hAnsi="標楷體" w:cs="標楷體"/>
          <w:color w:val="000000"/>
          <w:sz w:val="28"/>
          <w:szCs w:val="28"/>
        </w:rPr>
        <w:t>指課照</w:t>
      </w:r>
      <w:proofErr w:type="gramEnd"/>
      <w:r>
        <w:rPr>
          <w:rFonts w:ascii="標楷體" w:eastAsia="標楷體" w:hAnsi="標楷體" w:cs="標楷體"/>
          <w:color w:val="000000"/>
          <w:sz w:val="28"/>
          <w:szCs w:val="28"/>
        </w:rPr>
        <w:t>中心執行業務之過程，必須接觸個人資料之人員，包括定期或不定期契約人員及</w:t>
      </w:r>
      <w:proofErr w:type="gramStart"/>
      <w:r>
        <w:rPr>
          <w:rFonts w:ascii="標楷體" w:eastAsia="標楷體" w:hAnsi="標楷體" w:cs="標楷體"/>
          <w:color w:val="000000"/>
          <w:sz w:val="28"/>
          <w:szCs w:val="28"/>
        </w:rPr>
        <w:t>派遺</w:t>
      </w:r>
      <w:proofErr w:type="gramEnd"/>
      <w:r>
        <w:rPr>
          <w:rFonts w:ascii="標楷體" w:eastAsia="標楷體" w:hAnsi="標楷體" w:cs="標楷體"/>
          <w:color w:val="000000"/>
          <w:sz w:val="28"/>
          <w:szCs w:val="28"/>
        </w:rPr>
        <w:t>員工。</w:t>
      </w:r>
    </w:p>
    <w:p w:rsidR="0061261D" w:rsidRDefault="009664F6">
      <w:pPr>
        <w:pStyle w:val="Standard"/>
        <w:wordWrap w:val="0"/>
        <w:overflowPunct w:val="0"/>
        <w:autoSpaceDE w:val="0"/>
        <w:snapToGrid w:val="0"/>
        <w:ind w:left="852" w:firstLine="560"/>
        <w:jc w:val="both"/>
      </w:pPr>
      <w:r>
        <w:rPr>
          <w:rFonts w:ascii="標楷體" w:eastAsia="標楷體" w:hAnsi="標楷體" w:cs="標楷體"/>
          <w:color w:val="000000"/>
          <w:sz w:val="28"/>
          <w:szCs w:val="28"/>
        </w:rPr>
        <w:t>前項第一款專責人員與第二款查核人員，不得為同一人。</w:t>
      </w:r>
    </w:p>
    <w:p w:rsidR="0061261D" w:rsidRDefault="009664F6">
      <w:pPr>
        <w:pStyle w:val="Standard"/>
        <w:wordWrap w:val="0"/>
        <w:overflowPunct w:val="0"/>
        <w:autoSpaceDE w:val="0"/>
        <w:snapToGrid w:val="0"/>
        <w:spacing w:before="180"/>
        <w:ind w:left="848" w:hanging="848"/>
        <w:jc w:val="both"/>
      </w:pPr>
      <w:r>
        <w:rPr>
          <w:rFonts w:ascii="標楷體" w:eastAsia="標楷體" w:hAnsi="標楷體" w:cs="標楷體"/>
          <w:color w:val="000000"/>
          <w:sz w:val="28"/>
          <w:szCs w:val="28"/>
        </w:rPr>
        <w:t xml:space="preserve">第四條    </w:t>
      </w:r>
      <w:proofErr w:type="gramStart"/>
      <w:r>
        <w:rPr>
          <w:rFonts w:ascii="標楷體" w:eastAsia="標楷體" w:hAnsi="標楷體" w:cs="標楷體"/>
          <w:color w:val="000000"/>
          <w:sz w:val="28"/>
          <w:szCs w:val="28"/>
        </w:rPr>
        <w:t>課照中心</w:t>
      </w:r>
      <w:proofErr w:type="gramEnd"/>
      <w:r>
        <w:rPr>
          <w:rFonts w:ascii="標楷體" w:eastAsia="標楷體" w:hAnsi="標楷體" w:cs="標楷體"/>
          <w:color w:val="000000"/>
          <w:sz w:val="28"/>
          <w:szCs w:val="28"/>
        </w:rPr>
        <w:t>應依本辦法規定，訂定安全維護計畫，落實個人資料檔案之安全維護及管理，防止個人資料被竊取、竄改、毀損、滅失或洩漏。</w:t>
      </w:r>
    </w:p>
    <w:p w:rsidR="0061261D" w:rsidRDefault="009664F6">
      <w:pPr>
        <w:pStyle w:val="Standard"/>
        <w:wordWrap w:val="0"/>
        <w:overflowPunct w:val="0"/>
        <w:autoSpaceDE w:val="0"/>
        <w:snapToGrid w:val="0"/>
        <w:spacing w:before="180"/>
        <w:ind w:left="848" w:hanging="848"/>
        <w:jc w:val="both"/>
      </w:pPr>
      <w:r>
        <w:rPr>
          <w:rFonts w:ascii="標楷體" w:eastAsia="標楷體" w:hAnsi="標楷體" w:cs="標楷體"/>
          <w:color w:val="000000"/>
          <w:sz w:val="28"/>
          <w:szCs w:val="28"/>
        </w:rPr>
        <w:t xml:space="preserve">第五條    </w:t>
      </w:r>
      <w:proofErr w:type="gramStart"/>
      <w:r>
        <w:rPr>
          <w:rFonts w:ascii="標楷體" w:eastAsia="標楷體" w:hAnsi="標楷體" w:cs="標楷體"/>
          <w:color w:val="000000"/>
          <w:sz w:val="28"/>
          <w:szCs w:val="28"/>
        </w:rPr>
        <w:t>課照中心</w:t>
      </w:r>
      <w:proofErr w:type="gramEnd"/>
      <w:r>
        <w:rPr>
          <w:rFonts w:ascii="標楷體" w:eastAsia="標楷體" w:hAnsi="標楷體" w:cs="標楷體"/>
          <w:color w:val="000000"/>
          <w:sz w:val="28"/>
          <w:szCs w:val="28"/>
        </w:rPr>
        <w:t>訂定安全維護計畫時，應視其規模、特性、保有個人資料之性質、數量及其他相關事項，訂定適當之安全維護措施。</w:t>
      </w:r>
    </w:p>
    <w:p w:rsidR="0061261D" w:rsidRDefault="009664F6">
      <w:pPr>
        <w:pStyle w:val="Standard"/>
        <w:wordWrap w:val="0"/>
        <w:overflowPunct w:val="0"/>
        <w:autoSpaceDE w:val="0"/>
        <w:snapToGrid w:val="0"/>
        <w:ind w:left="852" w:firstLine="560"/>
        <w:jc w:val="both"/>
      </w:pPr>
      <w:r>
        <w:rPr>
          <w:rFonts w:ascii="標楷體" w:eastAsia="標楷體" w:hAnsi="標楷體" w:cs="標楷體"/>
          <w:color w:val="000000"/>
          <w:sz w:val="28"/>
          <w:szCs w:val="28"/>
        </w:rPr>
        <w:t>前項計畫，應包括業務終止後，個人資料處理方法及其他相關個人資料管理事項。</w:t>
      </w:r>
    </w:p>
    <w:p w:rsidR="0061261D" w:rsidRDefault="009664F6">
      <w:pPr>
        <w:pStyle w:val="Standard"/>
        <w:wordWrap w:val="0"/>
        <w:overflowPunct w:val="0"/>
        <w:autoSpaceDE w:val="0"/>
        <w:snapToGrid w:val="0"/>
        <w:spacing w:before="180"/>
        <w:ind w:left="848" w:hanging="848"/>
        <w:jc w:val="both"/>
      </w:pPr>
      <w:r>
        <w:rPr>
          <w:rFonts w:ascii="標楷體" w:eastAsia="標楷體" w:hAnsi="標楷體" w:cs="標楷體"/>
          <w:color w:val="000000"/>
          <w:sz w:val="28"/>
          <w:szCs w:val="28"/>
        </w:rPr>
        <w:t xml:space="preserve">第六條    </w:t>
      </w:r>
      <w:proofErr w:type="gramStart"/>
      <w:r>
        <w:rPr>
          <w:rFonts w:ascii="標楷體" w:eastAsia="標楷體" w:hAnsi="標楷體" w:cs="標楷體"/>
          <w:color w:val="000000"/>
          <w:sz w:val="28"/>
          <w:szCs w:val="28"/>
        </w:rPr>
        <w:t>課照中心</w:t>
      </w:r>
      <w:proofErr w:type="gramEnd"/>
      <w:r>
        <w:rPr>
          <w:rFonts w:ascii="標楷體" w:eastAsia="標楷體" w:hAnsi="標楷體" w:cs="標楷體"/>
          <w:color w:val="000000"/>
          <w:sz w:val="28"/>
          <w:szCs w:val="28"/>
        </w:rPr>
        <w:t>應於本辦法發布施行後六</w:t>
      </w:r>
      <w:proofErr w:type="gramStart"/>
      <w:r>
        <w:rPr>
          <w:rFonts w:ascii="標楷體" w:eastAsia="標楷體" w:hAnsi="標楷體" w:cs="標楷體"/>
          <w:color w:val="000000"/>
          <w:sz w:val="28"/>
          <w:szCs w:val="28"/>
        </w:rPr>
        <w:t>個</w:t>
      </w:r>
      <w:proofErr w:type="gramEnd"/>
      <w:r>
        <w:rPr>
          <w:rFonts w:ascii="標楷體" w:eastAsia="標楷體" w:hAnsi="標楷體" w:cs="標楷體"/>
          <w:color w:val="000000"/>
          <w:sz w:val="28"/>
          <w:szCs w:val="28"/>
        </w:rPr>
        <w:t>月內，完成安全維護計畫之訂定。</w:t>
      </w:r>
    </w:p>
    <w:p w:rsidR="0061261D" w:rsidRDefault="009664F6">
      <w:pPr>
        <w:pStyle w:val="Standard"/>
        <w:wordWrap w:val="0"/>
        <w:overflowPunct w:val="0"/>
        <w:autoSpaceDE w:val="0"/>
        <w:snapToGrid w:val="0"/>
        <w:ind w:left="852" w:firstLine="560"/>
        <w:jc w:val="both"/>
      </w:pPr>
      <w:proofErr w:type="gramStart"/>
      <w:r>
        <w:rPr>
          <w:rFonts w:ascii="標楷體" w:eastAsia="標楷體" w:hAnsi="標楷體" w:cs="標楷體"/>
          <w:color w:val="000000"/>
          <w:sz w:val="28"/>
          <w:szCs w:val="28"/>
        </w:rPr>
        <w:t>課照中心</w:t>
      </w:r>
      <w:proofErr w:type="gramEnd"/>
      <w:r>
        <w:rPr>
          <w:rFonts w:ascii="標楷體" w:eastAsia="標楷體" w:hAnsi="標楷體" w:cs="標楷體"/>
          <w:color w:val="000000"/>
          <w:sz w:val="28"/>
          <w:szCs w:val="28"/>
        </w:rPr>
        <w:t>應將訂定之安全維護計畫留中心備查；直轄市、縣(市)主管機關得派員檢查。</w:t>
      </w:r>
    </w:p>
    <w:p w:rsidR="0061261D" w:rsidRDefault="009664F6">
      <w:pPr>
        <w:pStyle w:val="Standard"/>
        <w:wordWrap w:val="0"/>
        <w:overflowPunct w:val="0"/>
        <w:autoSpaceDE w:val="0"/>
        <w:snapToGrid w:val="0"/>
        <w:spacing w:before="180"/>
        <w:ind w:left="848" w:hanging="848"/>
        <w:jc w:val="both"/>
      </w:pPr>
      <w:r>
        <w:rPr>
          <w:rFonts w:ascii="標楷體" w:eastAsia="標楷體" w:hAnsi="標楷體" w:cs="標楷體"/>
          <w:color w:val="000000"/>
          <w:sz w:val="28"/>
          <w:szCs w:val="28"/>
        </w:rPr>
        <w:t xml:space="preserve">第七條    </w:t>
      </w:r>
      <w:proofErr w:type="gramStart"/>
      <w:r>
        <w:rPr>
          <w:rFonts w:ascii="標楷體" w:eastAsia="標楷體" w:hAnsi="標楷體" w:cs="標楷體"/>
          <w:color w:val="000000"/>
          <w:sz w:val="28"/>
          <w:szCs w:val="28"/>
        </w:rPr>
        <w:t>課照中心</w:t>
      </w:r>
      <w:proofErr w:type="gramEnd"/>
      <w:r>
        <w:rPr>
          <w:rFonts w:ascii="標楷體" w:eastAsia="標楷體" w:hAnsi="標楷體" w:cs="標楷體"/>
          <w:color w:val="000000"/>
          <w:sz w:val="28"/>
          <w:szCs w:val="28"/>
        </w:rPr>
        <w:t>應指定專責人員，負責規劃、訂定、修正、執行安全維護計畫及業務終止後個人資料處理方法及其他相關事項，並定期向負責人提出報告。</w:t>
      </w:r>
    </w:p>
    <w:p w:rsidR="0061261D" w:rsidRDefault="009664F6">
      <w:pPr>
        <w:pStyle w:val="Standard"/>
        <w:wordWrap w:val="0"/>
        <w:overflowPunct w:val="0"/>
        <w:autoSpaceDE w:val="0"/>
        <w:snapToGrid w:val="0"/>
        <w:spacing w:before="180"/>
        <w:ind w:left="848" w:hanging="848"/>
        <w:jc w:val="both"/>
      </w:pPr>
      <w:r>
        <w:rPr>
          <w:rFonts w:ascii="標楷體" w:eastAsia="標楷體" w:hAnsi="標楷體" w:cs="標楷體"/>
          <w:color w:val="000000"/>
          <w:sz w:val="28"/>
          <w:szCs w:val="28"/>
        </w:rPr>
        <w:lastRenderedPageBreak/>
        <w:t xml:space="preserve">第八條    </w:t>
      </w:r>
      <w:proofErr w:type="gramStart"/>
      <w:r>
        <w:rPr>
          <w:rFonts w:ascii="標楷體" w:eastAsia="標楷體" w:hAnsi="標楷體" w:cs="標楷體"/>
          <w:color w:val="000000"/>
          <w:sz w:val="28"/>
          <w:szCs w:val="28"/>
        </w:rPr>
        <w:t>課照中心</w:t>
      </w:r>
      <w:proofErr w:type="gramEnd"/>
      <w:r>
        <w:rPr>
          <w:rFonts w:ascii="標楷體" w:eastAsia="標楷體" w:hAnsi="標楷體" w:cs="標楷體"/>
          <w:color w:val="000000"/>
          <w:sz w:val="28"/>
          <w:szCs w:val="28"/>
        </w:rPr>
        <w:t>應確認蒐集個人資料之特定目的，依特定目的之必要性，界定所蒐集、處理及利用個人資料之類別或範圍，並定期清查所保有之個人資料現況。</w:t>
      </w:r>
    </w:p>
    <w:p w:rsidR="0061261D" w:rsidRDefault="009664F6">
      <w:pPr>
        <w:pStyle w:val="Standard"/>
        <w:wordWrap w:val="0"/>
        <w:overflowPunct w:val="0"/>
        <w:autoSpaceDE w:val="0"/>
        <w:snapToGrid w:val="0"/>
        <w:ind w:left="852" w:firstLine="560"/>
        <w:jc w:val="both"/>
      </w:pPr>
      <w:proofErr w:type="gramStart"/>
      <w:r>
        <w:rPr>
          <w:rFonts w:ascii="標楷體" w:eastAsia="標楷體" w:hAnsi="標楷體" w:cs="標楷體"/>
          <w:color w:val="000000"/>
          <w:sz w:val="28"/>
          <w:szCs w:val="28"/>
        </w:rPr>
        <w:t>課照中心</w:t>
      </w:r>
      <w:proofErr w:type="gramEnd"/>
      <w:r>
        <w:rPr>
          <w:rFonts w:ascii="標楷體" w:eastAsia="標楷體" w:hAnsi="標楷體" w:cs="標楷體"/>
          <w:color w:val="000000"/>
          <w:sz w:val="28"/>
          <w:szCs w:val="28"/>
        </w:rPr>
        <w:t>經定期檢視，發現有非屬特定目的必要範圍內之個人資料或特定目的消失、期限屆滿而無保存必要者，應予刪除、銷毀或其他停止蒐集、處理、利用或其他適當之處置。</w:t>
      </w:r>
    </w:p>
    <w:p w:rsidR="0061261D" w:rsidRDefault="009664F6">
      <w:pPr>
        <w:pStyle w:val="Standard"/>
        <w:wordWrap w:val="0"/>
        <w:overflowPunct w:val="0"/>
        <w:autoSpaceDE w:val="0"/>
        <w:snapToGrid w:val="0"/>
        <w:spacing w:before="180"/>
        <w:ind w:left="848" w:hanging="848"/>
        <w:jc w:val="both"/>
      </w:pPr>
      <w:r>
        <w:rPr>
          <w:rFonts w:ascii="標楷體" w:eastAsia="標楷體" w:hAnsi="標楷體" w:cs="標楷體"/>
          <w:color w:val="000000"/>
          <w:sz w:val="28"/>
          <w:szCs w:val="28"/>
        </w:rPr>
        <w:t xml:space="preserve">第九條    </w:t>
      </w:r>
      <w:proofErr w:type="gramStart"/>
      <w:r>
        <w:rPr>
          <w:rFonts w:ascii="標楷體" w:eastAsia="標楷體" w:hAnsi="標楷體" w:cs="標楷體"/>
          <w:color w:val="000000"/>
          <w:sz w:val="28"/>
          <w:szCs w:val="28"/>
        </w:rPr>
        <w:t>課照中心</w:t>
      </w:r>
      <w:proofErr w:type="gramEnd"/>
      <w:r>
        <w:rPr>
          <w:rFonts w:ascii="標楷體" w:eastAsia="標楷體" w:hAnsi="標楷體" w:cs="標楷體"/>
          <w:color w:val="000000"/>
          <w:sz w:val="28"/>
          <w:szCs w:val="28"/>
        </w:rPr>
        <w:t>於蒐集個人資料時，應檢視是否符合前條第一項所定之類別及範圍。</w:t>
      </w:r>
    </w:p>
    <w:p w:rsidR="0061261D" w:rsidRDefault="009664F6">
      <w:pPr>
        <w:pStyle w:val="Standard"/>
        <w:wordWrap w:val="0"/>
        <w:overflowPunct w:val="0"/>
        <w:autoSpaceDE w:val="0"/>
        <w:snapToGrid w:val="0"/>
        <w:ind w:left="852" w:firstLine="560"/>
        <w:jc w:val="both"/>
        <w:rPr>
          <w:rFonts w:ascii="標楷體" w:eastAsia="標楷體" w:hAnsi="標楷體" w:cs="標楷體"/>
          <w:color w:val="000000"/>
          <w:sz w:val="28"/>
          <w:szCs w:val="28"/>
        </w:rPr>
      </w:pPr>
      <w:proofErr w:type="gramStart"/>
      <w:r>
        <w:rPr>
          <w:rFonts w:ascii="標楷體" w:eastAsia="標楷體" w:hAnsi="標楷體" w:cs="標楷體"/>
          <w:color w:val="000000"/>
          <w:sz w:val="28"/>
          <w:szCs w:val="28"/>
        </w:rPr>
        <w:t>課照中心</w:t>
      </w:r>
      <w:proofErr w:type="gramEnd"/>
      <w:r>
        <w:rPr>
          <w:rFonts w:ascii="標楷體" w:eastAsia="標楷體" w:hAnsi="標楷體" w:cs="標楷體"/>
          <w:color w:val="000000"/>
          <w:sz w:val="28"/>
          <w:szCs w:val="28"/>
        </w:rPr>
        <w:t>於傳輸個人資料時，應採取必要保護措施，避免洩漏。</w:t>
      </w:r>
    </w:p>
    <w:p w:rsidR="0061261D" w:rsidRDefault="009664F6">
      <w:pPr>
        <w:pStyle w:val="Standard"/>
        <w:wordWrap w:val="0"/>
        <w:overflowPunct w:val="0"/>
        <w:autoSpaceDE w:val="0"/>
        <w:snapToGrid w:val="0"/>
        <w:spacing w:before="180"/>
        <w:ind w:left="848" w:hanging="848"/>
        <w:jc w:val="both"/>
      </w:pPr>
      <w:r>
        <w:rPr>
          <w:rFonts w:ascii="標楷體" w:eastAsia="標楷體" w:hAnsi="標楷體" w:cs="標楷體"/>
          <w:color w:val="000000"/>
          <w:sz w:val="28"/>
          <w:szCs w:val="28"/>
        </w:rPr>
        <w:t xml:space="preserve">第十條    </w:t>
      </w:r>
      <w:proofErr w:type="gramStart"/>
      <w:r>
        <w:rPr>
          <w:rFonts w:ascii="標楷體" w:eastAsia="標楷體" w:hAnsi="標楷體" w:cs="標楷體"/>
          <w:color w:val="000000"/>
          <w:sz w:val="28"/>
          <w:szCs w:val="28"/>
        </w:rPr>
        <w:t>課照中心</w:t>
      </w:r>
      <w:proofErr w:type="gramEnd"/>
      <w:r>
        <w:rPr>
          <w:rFonts w:ascii="標楷體" w:eastAsia="標楷體" w:hAnsi="標楷體" w:cs="標楷體"/>
          <w:color w:val="000000"/>
          <w:sz w:val="28"/>
          <w:szCs w:val="28"/>
        </w:rPr>
        <w:t>應依已界定個人資料之範圍與蒐集、處理及利用流程，分析評估可能發生之風險，訂定適當之管控措施。</w:t>
      </w:r>
    </w:p>
    <w:p w:rsidR="0061261D" w:rsidRDefault="009664F6">
      <w:pPr>
        <w:pStyle w:val="Standard"/>
        <w:wordWrap w:val="0"/>
        <w:overflowPunct w:val="0"/>
        <w:autoSpaceDE w:val="0"/>
        <w:snapToGrid w:val="0"/>
        <w:spacing w:before="180"/>
        <w:ind w:left="1120" w:hanging="1120"/>
        <w:jc w:val="both"/>
      </w:pPr>
      <w:r>
        <w:rPr>
          <w:rFonts w:ascii="標楷體" w:eastAsia="標楷體" w:hAnsi="標楷體" w:cs="標楷體"/>
          <w:color w:val="000000"/>
          <w:sz w:val="28"/>
          <w:szCs w:val="28"/>
        </w:rPr>
        <w:t xml:space="preserve">第十一條    </w:t>
      </w:r>
      <w:proofErr w:type="gramStart"/>
      <w:r>
        <w:rPr>
          <w:rFonts w:ascii="標楷體" w:eastAsia="標楷體" w:hAnsi="標楷體" w:cs="標楷體"/>
          <w:color w:val="000000"/>
          <w:sz w:val="28"/>
          <w:szCs w:val="28"/>
        </w:rPr>
        <w:t>課照中心</w:t>
      </w:r>
      <w:proofErr w:type="gramEnd"/>
      <w:r>
        <w:rPr>
          <w:rFonts w:ascii="標楷體" w:eastAsia="標楷體" w:hAnsi="標楷體" w:cs="標楷體"/>
          <w:color w:val="000000"/>
          <w:sz w:val="28"/>
          <w:szCs w:val="28"/>
        </w:rPr>
        <w:t>於蒐集個人資料時，應遵守本法第八條及第九條有關告知義務之規定，並區分個人資料屬直接蒐集或間接蒐集，分別訂定告知方式、內容及注意事項，要求所屬人員確實辦理。</w:t>
      </w:r>
    </w:p>
    <w:p w:rsidR="0061261D" w:rsidRDefault="009664F6">
      <w:pPr>
        <w:pStyle w:val="Standard"/>
        <w:wordWrap w:val="0"/>
        <w:overflowPunct w:val="0"/>
        <w:autoSpaceDE w:val="0"/>
        <w:snapToGrid w:val="0"/>
        <w:spacing w:before="180"/>
        <w:ind w:left="1120" w:hanging="1120"/>
        <w:jc w:val="both"/>
      </w:pPr>
      <w:r>
        <w:rPr>
          <w:rFonts w:ascii="標楷體" w:eastAsia="標楷體" w:hAnsi="標楷體" w:cs="標楷體"/>
          <w:color w:val="000000"/>
          <w:sz w:val="28"/>
          <w:szCs w:val="28"/>
        </w:rPr>
        <w:t xml:space="preserve">第十二條    </w:t>
      </w:r>
      <w:proofErr w:type="gramStart"/>
      <w:r>
        <w:rPr>
          <w:rFonts w:ascii="標楷體" w:eastAsia="標楷體" w:hAnsi="標楷體" w:cs="標楷體"/>
          <w:color w:val="000000"/>
          <w:sz w:val="28"/>
          <w:szCs w:val="28"/>
        </w:rPr>
        <w:t>課照中心</w:t>
      </w:r>
      <w:proofErr w:type="gramEnd"/>
      <w:r>
        <w:rPr>
          <w:rFonts w:ascii="標楷體" w:eastAsia="標楷體" w:hAnsi="標楷體" w:cs="標楷體"/>
          <w:color w:val="000000"/>
          <w:sz w:val="28"/>
          <w:szCs w:val="28"/>
        </w:rPr>
        <w:t>依本法第二十條第一項規定利用個人資料為宣傳、推廣或行銷時，應明確告知</w:t>
      </w:r>
      <w:proofErr w:type="gramStart"/>
      <w:r>
        <w:rPr>
          <w:rFonts w:ascii="標楷體" w:eastAsia="標楷體" w:hAnsi="標楷體" w:cs="標楷體"/>
          <w:color w:val="000000"/>
          <w:sz w:val="28"/>
          <w:szCs w:val="28"/>
        </w:rPr>
        <w:t>當事人課照中心</w:t>
      </w:r>
      <w:proofErr w:type="gramEnd"/>
      <w:r>
        <w:rPr>
          <w:rFonts w:ascii="標楷體" w:eastAsia="標楷體" w:hAnsi="標楷體" w:cs="標楷體"/>
          <w:color w:val="000000"/>
          <w:sz w:val="28"/>
          <w:szCs w:val="28"/>
        </w:rPr>
        <w:t>立案名稱及個人資料來源。</w:t>
      </w:r>
    </w:p>
    <w:p w:rsidR="0061261D" w:rsidRDefault="009664F6">
      <w:pPr>
        <w:pStyle w:val="Standard"/>
        <w:wordWrap w:val="0"/>
        <w:overflowPunct w:val="0"/>
        <w:autoSpaceDE w:val="0"/>
        <w:snapToGrid w:val="0"/>
        <w:ind w:left="1080" w:firstLine="560"/>
        <w:jc w:val="both"/>
      </w:pPr>
      <w:proofErr w:type="gramStart"/>
      <w:r>
        <w:rPr>
          <w:rFonts w:ascii="標楷體" w:eastAsia="標楷體" w:hAnsi="標楷體" w:cs="標楷體"/>
          <w:color w:val="000000"/>
          <w:sz w:val="28"/>
          <w:szCs w:val="28"/>
        </w:rPr>
        <w:t>課照中心</w:t>
      </w:r>
      <w:proofErr w:type="gramEnd"/>
      <w:r>
        <w:rPr>
          <w:rFonts w:ascii="標楷體" w:eastAsia="標楷體" w:hAnsi="標楷體" w:cs="標楷體"/>
          <w:color w:val="000000"/>
          <w:sz w:val="28"/>
          <w:szCs w:val="28"/>
        </w:rPr>
        <w:t>於首次利用個人資料為宣傳、推廣或行銷時，應提供當事人或其法定代理人表示拒絕接受宣傳、推廣或行銷之方式，並支付所需費用；當事人或其法定代理人表示拒絕接受宣傳、推廣或行銷者，應立即停止利用其個人資料宣傳、推廣或行銷，</w:t>
      </w:r>
      <w:proofErr w:type="gramStart"/>
      <w:r>
        <w:rPr>
          <w:rFonts w:ascii="標楷體" w:eastAsia="標楷體" w:hAnsi="標楷體" w:cs="標楷體"/>
          <w:color w:val="000000"/>
          <w:sz w:val="28"/>
          <w:szCs w:val="28"/>
        </w:rPr>
        <w:t>並周知</w:t>
      </w:r>
      <w:proofErr w:type="gramEnd"/>
      <w:r>
        <w:rPr>
          <w:rFonts w:ascii="標楷體" w:eastAsia="標楷體" w:hAnsi="標楷體" w:cs="標楷體"/>
          <w:color w:val="000000"/>
          <w:sz w:val="28"/>
          <w:szCs w:val="28"/>
        </w:rPr>
        <w:t>所屬人員。</w:t>
      </w:r>
    </w:p>
    <w:p w:rsidR="0061261D" w:rsidRDefault="009664F6">
      <w:pPr>
        <w:pStyle w:val="Standard"/>
        <w:wordWrap w:val="0"/>
        <w:overflowPunct w:val="0"/>
        <w:autoSpaceDE w:val="0"/>
        <w:snapToGrid w:val="0"/>
        <w:spacing w:before="180"/>
        <w:ind w:left="1120" w:hanging="1120"/>
        <w:jc w:val="both"/>
      </w:pPr>
      <w:r>
        <w:rPr>
          <w:rFonts w:ascii="標楷體" w:eastAsia="標楷體" w:hAnsi="標楷體" w:cs="標楷體"/>
          <w:color w:val="000000"/>
          <w:sz w:val="28"/>
          <w:szCs w:val="28"/>
        </w:rPr>
        <w:t xml:space="preserve">第十三條     </w:t>
      </w:r>
      <w:proofErr w:type="gramStart"/>
      <w:r>
        <w:rPr>
          <w:rFonts w:ascii="標楷體" w:eastAsia="標楷體" w:hAnsi="標楷體" w:cs="標楷體"/>
          <w:color w:val="000000"/>
          <w:sz w:val="28"/>
          <w:szCs w:val="28"/>
        </w:rPr>
        <w:t>課照中心</w:t>
      </w:r>
      <w:proofErr w:type="gramEnd"/>
      <w:r>
        <w:rPr>
          <w:rFonts w:ascii="標楷體" w:eastAsia="標楷體" w:hAnsi="標楷體" w:cs="標楷體"/>
          <w:color w:val="000000"/>
          <w:sz w:val="28"/>
          <w:szCs w:val="28"/>
        </w:rPr>
        <w:t>委託他人蒐集、處理或利用個人資料之全部或一部時，應依本法施行細則第八條規定，對受託者為適當之監督，並明確約定相關監督事項及方式。</w:t>
      </w:r>
    </w:p>
    <w:p w:rsidR="0061261D" w:rsidRDefault="009664F6">
      <w:pPr>
        <w:pStyle w:val="Standard"/>
        <w:wordWrap w:val="0"/>
        <w:overflowPunct w:val="0"/>
        <w:autoSpaceDE w:val="0"/>
        <w:snapToGrid w:val="0"/>
        <w:spacing w:before="180"/>
        <w:ind w:left="1120" w:hanging="1120"/>
        <w:jc w:val="both"/>
      </w:pPr>
      <w:r>
        <w:rPr>
          <w:rFonts w:ascii="標楷體" w:eastAsia="標楷體" w:hAnsi="標楷體" w:cs="標楷體"/>
          <w:color w:val="000000"/>
          <w:sz w:val="28"/>
          <w:szCs w:val="28"/>
        </w:rPr>
        <w:t xml:space="preserve">第十四條    </w:t>
      </w:r>
      <w:proofErr w:type="gramStart"/>
      <w:r>
        <w:rPr>
          <w:rFonts w:ascii="標楷體" w:eastAsia="標楷體" w:hAnsi="標楷體" w:cs="標楷體"/>
          <w:color w:val="000000"/>
          <w:sz w:val="28"/>
          <w:szCs w:val="28"/>
        </w:rPr>
        <w:t>課照中心</w:t>
      </w:r>
      <w:proofErr w:type="gramEnd"/>
      <w:r>
        <w:rPr>
          <w:rFonts w:ascii="標楷體" w:eastAsia="標楷體" w:hAnsi="標楷體" w:cs="標楷體"/>
          <w:color w:val="000000"/>
          <w:sz w:val="28"/>
          <w:szCs w:val="28"/>
        </w:rPr>
        <w:t>於當事人或其法定代理人行使本法第三條規定之權利時，得採取下列方式辦理：</w:t>
      </w:r>
    </w:p>
    <w:p w:rsidR="0061261D" w:rsidRDefault="009664F6">
      <w:pPr>
        <w:pStyle w:val="Standard"/>
        <w:autoSpaceDE w:val="0"/>
        <w:snapToGrid w:val="0"/>
        <w:ind w:left="2225" w:hanging="521"/>
        <w:rPr>
          <w:rFonts w:ascii="標楷體" w:eastAsia="標楷體" w:hAnsi="標楷體" w:cs="標楷體"/>
          <w:color w:val="000000"/>
          <w:sz w:val="28"/>
          <w:szCs w:val="28"/>
        </w:rPr>
      </w:pPr>
      <w:r>
        <w:rPr>
          <w:rFonts w:ascii="標楷體" w:eastAsia="標楷體" w:hAnsi="標楷體" w:cs="標楷體"/>
          <w:color w:val="000000"/>
          <w:sz w:val="28"/>
          <w:szCs w:val="28"/>
        </w:rPr>
        <w:t>一、提供聯絡窗口及聯絡方式。</w:t>
      </w:r>
    </w:p>
    <w:p w:rsidR="0061261D" w:rsidRDefault="009664F6">
      <w:pPr>
        <w:pStyle w:val="Standard"/>
        <w:autoSpaceDE w:val="0"/>
        <w:snapToGrid w:val="0"/>
        <w:ind w:left="2225" w:hanging="521"/>
      </w:pPr>
      <w:r>
        <w:rPr>
          <w:rFonts w:ascii="標楷體" w:eastAsia="標楷體" w:hAnsi="標楷體" w:cs="標楷體"/>
          <w:color w:val="000000"/>
          <w:sz w:val="28"/>
          <w:szCs w:val="28"/>
        </w:rPr>
        <w:t>二、確認是否為資料當事人之本人或其法定代理人，或經其委託。</w:t>
      </w:r>
    </w:p>
    <w:p w:rsidR="0061261D" w:rsidRDefault="009664F6">
      <w:pPr>
        <w:pStyle w:val="Standard"/>
        <w:autoSpaceDE w:val="0"/>
        <w:snapToGrid w:val="0"/>
        <w:ind w:left="2225" w:hanging="521"/>
      </w:pPr>
      <w:r>
        <w:rPr>
          <w:rFonts w:ascii="標楷體" w:eastAsia="標楷體" w:hAnsi="標楷體" w:cs="標楷體"/>
          <w:color w:val="000000"/>
          <w:sz w:val="28"/>
          <w:szCs w:val="28"/>
        </w:rPr>
        <w:t>三、有本法第十條但書、第十一條第二項但書或第三項但書得拒絕當事人或其法定代理人行使權利之</w:t>
      </w:r>
      <w:r>
        <w:rPr>
          <w:rFonts w:ascii="標楷體" w:eastAsia="標楷體" w:hAnsi="標楷體" w:cs="標楷體"/>
          <w:color w:val="000000"/>
          <w:sz w:val="28"/>
          <w:szCs w:val="28"/>
        </w:rPr>
        <w:lastRenderedPageBreak/>
        <w:t>事由，一併附理由通知當事人或其法定代理人。</w:t>
      </w:r>
    </w:p>
    <w:p w:rsidR="0061261D" w:rsidRDefault="009664F6">
      <w:pPr>
        <w:pStyle w:val="Standard"/>
        <w:autoSpaceDE w:val="0"/>
        <w:snapToGrid w:val="0"/>
        <w:ind w:left="2225" w:hanging="521"/>
      </w:pPr>
      <w:r>
        <w:rPr>
          <w:rFonts w:ascii="標楷體" w:eastAsia="標楷體" w:hAnsi="標楷體" w:cs="標楷體"/>
          <w:color w:val="000000"/>
          <w:sz w:val="28"/>
          <w:szCs w:val="28"/>
        </w:rPr>
        <w:t>四、告知是否酌收必要成本費用及其收費基準，並遵守本法第十三條處理期限規定。</w:t>
      </w:r>
    </w:p>
    <w:p w:rsidR="0061261D" w:rsidRDefault="009664F6">
      <w:pPr>
        <w:pStyle w:val="Standard"/>
        <w:wordWrap w:val="0"/>
        <w:overflowPunct w:val="0"/>
        <w:autoSpaceDE w:val="0"/>
        <w:snapToGrid w:val="0"/>
        <w:spacing w:before="180"/>
        <w:ind w:left="1120" w:hanging="1120"/>
        <w:jc w:val="both"/>
      </w:pPr>
      <w:r>
        <w:rPr>
          <w:rFonts w:ascii="標楷體" w:eastAsia="標楷體" w:hAnsi="標楷體" w:cs="標楷體"/>
          <w:color w:val="000000"/>
          <w:sz w:val="28"/>
          <w:szCs w:val="28"/>
        </w:rPr>
        <w:t xml:space="preserve">第十五條    </w:t>
      </w:r>
      <w:proofErr w:type="gramStart"/>
      <w:r>
        <w:rPr>
          <w:rFonts w:ascii="標楷體" w:eastAsia="標楷體" w:hAnsi="標楷體" w:cs="標楷體"/>
          <w:color w:val="000000"/>
          <w:sz w:val="28"/>
          <w:szCs w:val="28"/>
        </w:rPr>
        <w:t>課照中心</w:t>
      </w:r>
      <w:proofErr w:type="gramEnd"/>
      <w:r>
        <w:rPr>
          <w:rFonts w:ascii="標楷體" w:eastAsia="標楷體" w:hAnsi="標楷體" w:cs="標楷體"/>
          <w:color w:val="000000"/>
          <w:sz w:val="28"/>
          <w:szCs w:val="28"/>
        </w:rPr>
        <w:t>應訂定應變機制，在發生個人資料被竊取、洩漏、竄改或其他侵害事故時，迅速處理，以保護當事人之權益。</w:t>
      </w:r>
    </w:p>
    <w:p w:rsidR="0061261D" w:rsidRDefault="009664F6">
      <w:pPr>
        <w:pStyle w:val="Standard"/>
        <w:autoSpaceDE w:val="0"/>
        <w:snapToGrid w:val="0"/>
        <w:ind w:left="1758" w:hanging="78"/>
        <w:rPr>
          <w:rFonts w:ascii="標楷體" w:eastAsia="標楷體" w:hAnsi="標楷體" w:cs="標楷體"/>
          <w:color w:val="000000"/>
          <w:sz w:val="28"/>
          <w:szCs w:val="28"/>
        </w:rPr>
      </w:pPr>
      <w:r>
        <w:rPr>
          <w:rFonts w:ascii="標楷體" w:eastAsia="標楷體" w:hAnsi="標楷體" w:cs="標楷體"/>
          <w:color w:val="000000"/>
          <w:sz w:val="28"/>
          <w:szCs w:val="28"/>
        </w:rPr>
        <w:t>前項應變機制，應包括下列事項：</w:t>
      </w:r>
    </w:p>
    <w:p w:rsidR="0061261D" w:rsidRDefault="009664F6">
      <w:pPr>
        <w:pStyle w:val="Standard"/>
        <w:autoSpaceDE w:val="0"/>
        <w:snapToGrid w:val="0"/>
        <w:ind w:left="1701" w:hanging="7"/>
        <w:jc w:val="both"/>
        <w:rPr>
          <w:rFonts w:ascii="標楷體" w:eastAsia="標楷體" w:hAnsi="標楷體" w:cs="標楷體"/>
          <w:color w:val="000000"/>
          <w:sz w:val="28"/>
          <w:szCs w:val="28"/>
        </w:rPr>
      </w:pPr>
      <w:r>
        <w:rPr>
          <w:rFonts w:ascii="標楷體" w:eastAsia="標楷體" w:hAnsi="標楷體" w:cs="標楷體"/>
          <w:color w:val="000000"/>
          <w:sz w:val="28"/>
          <w:szCs w:val="28"/>
        </w:rPr>
        <w:t>一、採取適當之措施，控制事故對當事人造成之損害。</w:t>
      </w:r>
    </w:p>
    <w:p w:rsidR="0061261D" w:rsidRDefault="009664F6">
      <w:pPr>
        <w:pStyle w:val="Standard"/>
        <w:autoSpaceDE w:val="0"/>
        <w:snapToGrid w:val="0"/>
        <w:ind w:left="2225" w:hanging="521"/>
      </w:pPr>
      <w:r>
        <w:rPr>
          <w:rFonts w:ascii="標楷體" w:eastAsia="標楷體" w:hAnsi="標楷體" w:cs="標楷體"/>
          <w:color w:val="000000"/>
          <w:sz w:val="28"/>
          <w:szCs w:val="28"/>
        </w:rPr>
        <w:t>二、查明事故發生原因及損害狀況，以適當方式通知當事人或其法定代理人，並通報其直轄市、縣(市)主管機關。</w:t>
      </w:r>
    </w:p>
    <w:p w:rsidR="0061261D" w:rsidRDefault="009664F6">
      <w:pPr>
        <w:pStyle w:val="Standard"/>
        <w:autoSpaceDE w:val="0"/>
        <w:snapToGrid w:val="0"/>
        <w:ind w:left="2225" w:hanging="521"/>
        <w:rPr>
          <w:rFonts w:ascii="標楷體" w:eastAsia="標楷體" w:hAnsi="標楷體" w:cs="標楷體"/>
          <w:color w:val="000000"/>
          <w:sz w:val="28"/>
          <w:szCs w:val="28"/>
        </w:rPr>
      </w:pPr>
      <w:r>
        <w:rPr>
          <w:rFonts w:ascii="標楷體" w:eastAsia="標楷體" w:hAnsi="標楷體" w:cs="標楷體"/>
          <w:color w:val="000000"/>
          <w:sz w:val="28"/>
          <w:szCs w:val="28"/>
        </w:rPr>
        <w:t>三、</w:t>
      </w:r>
      <w:proofErr w:type="gramStart"/>
      <w:r>
        <w:rPr>
          <w:rFonts w:ascii="標楷體" w:eastAsia="標楷體" w:hAnsi="標楷體" w:cs="標楷體"/>
          <w:color w:val="000000"/>
          <w:sz w:val="28"/>
          <w:szCs w:val="28"/>
        </w:rPr>
        <w:t>研</w:t>
      </w:r>
      <w:proofErr w:type="gramEnd"/>
      <w:r>
        <w:rPr>
          <w:rFonts w:ascii="標楷體" w:eastAsia="標楷體" w:hAnsi="標楷體" w:cs="標楷體"/>
          <w:color w:val="000000"/>
          <w:sz w:val="28"/>
          <w:szCs w:val="28"/>
        </w:rPr>
        <w:t>議改進措施，避免事故再度發生。</w:t>
      </w:r>
    </w:p>
    <w:p w:rsidR="0061261D" w:rsidRDefault="009664F6">
      <w:pPr>
        <w:pStyle w:val="Standard"/>
        <w:autoSpaceDE w:val="0"/>
        <w:snapToGrid w:val="0"/>
        <w:ind w:left="1078" w:firstLine="585"/>
        <w:jc w:val="both"/>
        <w:rPr>
          <w:rFonts w:ascii="標楷體" w:eastAsia="標楷體" w:hAnsi="標楷體" w:cs="標楷體"/>
          <w:color w:val="000000"/>
          <w:sz w:val="28"/>
          <w:szCs w:val="28"/>
        </w:rPr>
      </w:pPr>
      <w:r>
        <w:rPr>
          <w:rFonts w:ascii="標楷體" w:eastAsia="標楷體" w:hAnsi="標楷體" w:cs="標楷體"/>
          <w:color w:val="000000"/>
          <w:sz w:val="28"/>
          <w:szCs w:val="28"/>
        </w:rPr>
        <w:t>前項第二款通報作業及文件書表格式，由直轄市、縣(市)主管機關定之。</w:t>
      </w:r>
    </w:p>
    <w:p w:rsidR="0061261D" w:rsidRDefault="009664F6">
      <w:pPr>
        <w:pStyle w:val="Standard"/>
        <w:autoSpaceDE w:val="0"/>
        <w:snapToGrid w:val="0"/>
        <w:ind w:left="1078" w:firstLine="585"/>
        <w:jc w:val="both"/>
      </w:pPr>
      <w:proofErr w:type="gramStart"/>
      <w:r>
        <w:rPr>
          <w:rFonts w:ascii="標楷體" w:eastAsia="標楷體" w:hAnsi="標楷體" w:cs="標楷體"/>
          <w:color w:val="000000"/>
          <w:sz w:val="28"/>
          <w:szCs w:val="28"/>
        </w:rPr>
        <w:t>課照中心</w:t>
      </w:r>
      <w:proofErr w:type="gramEnd"/>
      <w:r>
        <w:rPr>
          <w:rFonts w:ascii="標楷體" w:eastAsia="標楷體" w:hAnsi="標楷體" w:cs="標楷體"/>
          <w:color w:val="000000"/>
          <w:sz w:val="28"/>
          <w:szCs w:val="28"/>
        </w:rPr>
        <w:t>應自第一項事件發生之日起三日內，通報主管機關；並自處理結束之日起一個月內，將處理方式及結果，報主管機關備查。</w:t>
      </w:r>
    </w:p>
    <w:p w:rsidR="0061261D" w:rsidRDefault="009664F6">
      <w:pPr>
        <w:pStyle w:val="Standard"/>
        <w:wordWrap w:val="0"/>
        <w:overflowPunct w:val="0"/>
        <w:autoSpaceDE w:val="0"/>
        <w:snapToGrid w:val="0"/>
        <w:spacing w:before="180"/>
        <w:ind w:left="1120" w:hanging="1120"/>
        <w:jc w:val="both"/>
      </w:pPr>
      <w:r>
        <w:rPr>
          <w:rFonts w:ascii="標楷體" w:eastAsia="標楷體" w:hAnsi="標楷體" w:cs="標楷體"/>
          <w:color w:val="000000"/>
          <w:sz w:val="28"/>
          <w:szCs w:val="28"/>
        </w:rPr>
        <w:t xml:space="preserve">第十六條    </w:t>
      </w:r>
      <w:proofErr w:type="gramStart"/>
      <w:r>
        <w:rPr>
          <w:rFonts w:ascii="標楷體" w:eastAsia="標楷體" w:hAnsi="標楷體" w:cs="標楷體"/>
          <w:color w:val="000000"/>
          <w:sz w:val="28"/>
          <w:szCs w:val="28"/>
        </w:rPr>
        <w:t>課照中心</w:t>
      </w:r>
      <w:proofErr w:type="gramEnd"/>
      <w:r>
        <w:rPr>
          <w:rFonts w:ascii="標楷體" w:eastAsia="標楷體" w:hAnsi="標楷體" w:cs="標楷體"/>
          <w:color w:val="000000"/>
          <w:sz w:val="28"/>
          <w:szCs w:val="28"/>
        </w:rPr>
        <w:t>對所保有之個人資料檔案，應設置必要之安全設備及採取必要之防護措施。</w:t>
      </w:r>
    </w:p>
    <w:p w:rsidR="0061261D" w:rsidRDefault="009664F6">
      <w:pPr>
        <w:pStyle w:val="Standard"/>
        <w:autoSpaceDE w:val="0"/>
        <w:snapToGrid w:val="0"/>
        <w:ind w:left="1758" w:hanging="59"/>
        <w:rPr>
          <w:rFonts w:ascii="標楷體" w:eastAsia="標楷體" w:hAnsi="標楷體" w:cs="標楷體"/>
          <w:color w:val="000000"/>
          <w:sz w:val="28"/>
          <w:szCs w:val="28"/>
        </w:rPr>
      </w:pPr>
      <w:r>
        <w:rPr>
          <w:rFonts w:ascii="標楷體" w:eastAsia="標楷體" w:hAnsi="標楷體" w:cs="標楷體"/>
          <w:color w:val="000000"/>
          <w:sz w:val="28"/>
          <w:szCs w:val="28"/>
        </w:rPr>
        <w:t>前項安全設備或防護措施，應包括下列事項：</w:t>
      </w:r>
    </w:p>
    <w:p w:rsidR="0061261D" w:rsidRDefault="009664F6">
      <w:pPr>
        <w:pStyle w:val="Standard"/>
        <w:autoSpaceDE w:val="0"/>
        <w:snapToGrid w:val="0"/>
        <w:ind w:left="2267" w:hanging="568"/>
        <w:jc w:val="both"/>
        <w:rPr>
          <w:rFonts w:ascii="標楷體" w:eastAsia="標楷體" w:hAnsi="標楷體" w:cs="標楷體"/>
          <w:color w:val="000000"/>
          <w:sz w:val="28"/>
          <w:szCs w:val="28"/>
        </w:rPr>
      </w:pPr>
      <w:r>
        <w:rPr>
          <w:rFonts w:ascii="標楷體" w:eastAsia="標楷體" w:hAnsi="標楷體" w:cs="標楷體"/>
          <w:color w:val="000000"/>
          <w:sz w:val="28"/>
          <w:szCs w:val="28"/>
        </w:rPr>
        <w:t>一、紙本資料檔案之安全保護設施及管理程序。</w:t>
      </w:r>
    </w:p>
    <w:p w:rsidR="0061261D" w:rsidRDefault="009664F6">
      <w:pPr>
        <w:pStyle w:val="Standard"/>
        <w:autoSpaceDE w:val="0"/>
        <w:snapToGrid w:val="0"/>
        <w:ind w:left="2267" w:hanging="568"/>
        <w:jc w:val="both"/>
        <w:rPr>
          <w:rFonts w:ascii="標楷體" w:eastAsia="標楷體" w:hAnsi="標楷體" w:cs="標楷體"/>
          <w:color w:val="000000"/>
          <w:sz w:val="28"/>
          <w:szCs w:val="28"/>
        </w:rPr>
      </w:pPr>
      <w:r>
        <w:rPr>
          <w:rFonts w:ascii="標楷體" w:eastAsia="標楷體" w:hAnsi="標楷體" w:cs="標楷體"/>
          <w:color w:val="000000"/>
          <w:sz w:val="28"/>
          <w:szCs w:val="28"/>
        </w:rPr>
        <w:t>二、電子資料檔案存放之電腦或自動化機器相關設備，配置安全防護系統或加密機制。</w:t>
      </w:r>
    </w:p>
    <w:p w:rsidR="0061261D" w:rsidRDefault="009664F6">
      <w:pPr>
        <w:pStyle w:val="Standard"/>
        <w:autoSpaceDE w:val="0"/>
        <w:snapToGrid w:val="0"/>
        <w:ind w:left="2267" w:hanging="568"/>
        <w:jc w:val="both"/>
      </w:pPr>
      <w:r>
        <w:rPr>
          <w:rFonts w:ascii="標楷體" w:eastAsia="標楷體" w:hAnsi="標楷體" w:cs="標楷體"/>
          <w:color w:val="000000"/>
          <w:sz w:val="28"/>
          <w:szCs w:val="28"/>
        </w:rPr>
        <w:t>三、</w:t>
      </w:r>
      <w:proofErr w:type="gramStart"/>
      <w:r>
        <w:rPr>
          <w:rFonts w:ascii="標楷體" w:eastAsia="標楷體" w:hAnsi="標楷體" w:cs="標楷體"/>
          <w:color w:val="000000"/>
          <w:sz w:val="28"/>
          <w:szCs w:val="28"/>
        </w:rPr>
        <w:t>訂定紙本</w:t>
      </w:r>
      <w:proofErr w:type="gramEnd"/>
      <w:r>
        <w:rPr>
          <w:rFonts w:ascii="標楷體" w:eastAsia="標楷體" w:hAnsi="標楷體" w:cs="標楷體"/>
          <w:color w:val="000000"/>
          <w:sz w:val="28"/>
          <w:szCs w:val="28"/>
        </w:rPr>
        <w:t>資料之銷毀程序；電腦、自動化機器或其他儲存媒介物需報廢</w:t>
      </w:r>
      <w:proofErr w:type="gramStart"/>
      <w:r>
        <w:rPr>
          <w:rFonts w:ascii="標楷體" w:eastAsia="標楷體" w:hAnsi="標楷體" w:cs="標楷體"/>
          <w:color w:val="000000"/>
          <w:sz w:val="28"/>
          <w:szCs w:val="28"/>
        </w:rPr>
        <w:t>汰</w:t>
      </w:r>
      <w:proofErr w:type="gramEnd"/>
      <w:r>
        <w:rPr>
          <w:rFonts w:ascii="標楷體" w:eastAsia="標楷體" w:hAnsi="標楷體" w:cs="標楷體"/>
          <w:color w:val="000000"/>
          <w:sz w:val="28"/>
          <w:szCs w:val="28"/>
        </w:rPr>
        <w:t>換或轉作其他用途時，應採取適當防範措施，避免洩漏個人資料。</w:t>
      </w:r>
    </w:p>
    <w:p w:rsidR="0061261D" w:rsidRDefault="009664F6">
      <w:pPr>
        <w:pStyle w:val="Standard"/>
        <w:wordWrap w:val="0"/>
        <w:overflowPunct w:val="0"/>
        <w:autoSpaceDE w:val="0"/>
        <w:snapToGrid w:val="0"/>
        <w:spacing w:before="180"/>
        <w:ind w:left="1120" w:hanging="1120"/>
        <w:jc w:val="both"/>
      </w:pPr>
      <w:r>
        <w:rPr>
          <w:rFonts w:ascii="標楷體" w:eastAsia="標楷體" w:hAnsi="標楷體" w:cs="標楷體"/>
          <w:color w:val="000000"/>
          <w:sz w:val="28"/>
          <w:szCs w:val="28"/>
        </w:rPr>
        <w:t xml:space="preserve">第十七條    </w:t>
      </w:r>
      <w:proofErr w:type="gramStart"/>
      <w:r>
        <w:rPr>
          <w:rFonts w:ascii="標楷體" w:eastAsia="標楷體" w:hAnsi="標楷體" w:cs="標楷體"/>
          <w:color w:val="000000"/>
          <w:sz w:val="28"/>
          <w:szCs w:val="28"/>
        </w:rPr>
        <w:t>課照中心</w:t>
      </w:r>
      <w:proofErr w:type="gramEnd"/>
      <w:r>
        <w:rPr>
          <w:rFonts w:ascii="標楷體" w:eastAsia="標楷體" w:hAnsi="標楷體" w:cs="標楷體"/>
          <w:color w:val="000000"/>
          <w:sz w:val="28"/>
          <w:szCs w:val="28"/>
        </w:rPr>
        <w:t>為確實保護個人資料之安全，應對其所屬人員採取下列措施：</w:t>
      </w:r>
    </w:p>
    <w:p w:rsidR="0061261D" w:rsidRDefault="009664F6">
      <w:pPr>
        <w:pStyle w:val="Standard"/>
        <w:autoSpaceDE w:val="0"/>
        <w:snapToGrid w:val="0"/>
        <w:ind w:left="2222" w:hanging="532"/>
        <w:jc w:val="both"/>
        <w:rPr>
          <w:rFonts w:ascii="標楷體" w:eastAsia="標楷體" w:hAnsi="標楷體" w:cs="標楷體"/>
          <w:color w:val="000000"/>
          <w:sz w:val="28"/>
          <w:szCs w:val="28"/>
        </w:rPr>
      </w:pPr>
      <w:r>
        <w:rPr>
          <w:rFonts w:ascii="標楷體" w:eastAsia="標楷體" w:hAnsi="標楷體" w:cs="標楷體"/>
          <w:color w:val="000000"/>
          <w:sz w:val="28"/>
          <w:szCs w:val="28"/>
        </w:rPr>
        <w:t>一、依據業務作業需要，建立管理機制，設定所屬人員不同之權限，以控管其接觸個人資料之情形，並定期確認權限內容之適當性及必要性。</w:t>
      </w:r>
    </w:p>
    <w:p w:rsidR="0061261D" w:rsidRDefault="009664F6">
      <w:pPr>
        <w:pStyle w:val="Standard"/>
        <w:autoSpaceDE w:val="0"/>
        <w:snapToGrid w:val="0"/>
        <w:ind w:left="2222" w:hanging="532"/>
        <w:jc w:val="both"/>
      </w:pPr>
      <w:r>
        <w:rPr>
          <w:rFonts w:ascii="標楷體" w:eastAsia="標楷體" w:hAnsi="標楷體" w:cs="標楷體"/>
          <w:color w:val="000000"/>
          <w:sz w:val="28"/>
          <w:szCs w:val="28"/>
        </w:rPr>
        <w:t>二、檢視各相關業務之性質，規範個人資料蒐集、處理、利用及其他相關流程之負責人員。</w:t>
      </w:r>
    </w:p>
    <w:p w:rsidR="0061261D" w:rsidRDefault="009664F6">
      <w:pPr>
        <w:pStyle w:val="Standard"/>
        <w:autoSpaceDE w:val="0"/>
        <w:snapToGrid w:val="0"/>
        <w:ind w:left="2222" w:hanging="532"/>
        <w:jc w:val="both"/>
        <w:rPr>
          <w:rFonts w:ascii="標楷體" w:eastAsia="標楷體" w:hAnsi="標楷體" w:cs="標楷體"/>
          <w:color w:val="000000"/>
          <w:sz w:val="28"/>
          <w:szCs w:val="28"/>
        </w:rPr>
      </w:pPr>
      <w:r>
        <w:rPr>
          <w:rFonts w:ascii="標楷體" w:eastAsia="標楷體" w:hAnsi="標楷體" w:cs="標楷體"/>
          <w:color w:val="000000"/>
          <w:sz w:val="28"/>
          <w:szCs w:val="28"/>
        </w:rPr>
        <w:t>三、要求所屬人員妥善保管個人資料之儲存媒介物，並約定保管及保密義務。</w:t>
      </w:r>
    </w:p>
    <w:p w:rsidR="0061261D" w:rsidRDefault="009664F6">
      <w:pPr>
        <w:pStyle w:val="Standard"/>
        <w:wordWrap w:val="0"/>
        <w:overflowPunct w:val="0"/>
        <w:autoSpaceDE w:val="0"/>
        <w:snapToGrid w:val="0"/>
        <w:ind w:left="2222" w:hanging="532"/>
        <w:jc w:val="both"/>
        <w:rPr>
          <w:rFonts w:ascii="標楷體" w:eastAsia="標楷體" w:hAnsi="標楷體" w:cs="標楷體"/>
          <w:color w:val="000000"/>
          <w:sz w:val="28"/>
          <w:szCs w:val="28"/>
        </w:rPr>
      </w:pPr>
      <w:r>
        <w:rPr>
          <w:rFonts w:ascii="標楷體" w:eastAsia="標楷體" w:hAnsi="標楷體" w:cs="標楷體"/>
          <w:color w:val="000000"/>
          <w:sz w:val="28"/>
          <w:szCs w:val="28"/>
        </w:rPr>
        <w:t>四、所屬人員離職時取消其識別碼，並應要求將執行</w:t>
      </w:r>
      <w:r>
        <w:rPr>
          <w:rFonts w:ascii="標楷體" w:eastAsia="標楷體" w:hAnsi="標楷體" w:cs="標楷體"/>
          <w:color w:val="000000"/>
          <w:sz w:val="28"/>
          <w:szCs w:val="28"/>
        </w:rPr>
        <w:lastRenderedPageBreak/>
        <w:t>業務所持有之個人資料(包括紙本及儲存媒介物)辦理交接，不得攜離使用，並應簽訂保密切結書。</w:t>
      </w:r>
    </w:p>
    <w:p w:rsidR="0061261D" w:rsidRDefault="009664F6">
      <w:pPr>
        <w:pStyle w:val="Standard"/>
        <w:wordWrap w:val="0"/>
        <w:overflowPunct w:val="0"/>
        <w:autoSpaceDE w:val="0"/>
        <w:snapToGrid w:val="0"/>
        <w:spacing w:before="180"/>
        <w:ind w:left="1120" w:hanging="1120"/>
        <w:jc w:val="both"/>
      </w:pPr>
      <w:r>
        <w:rPr>
          <w:rFonts w:ascii="標楷體" w:eastAsia="標楷體" w:hAnsi="標楷體" w:cs="標楷體"/>
          <w:color w:val="000000"/>
          <w:sz w:val="28"/>
          <w:szCs w:val="28"/>
        </w:rPr>
        <w:t xml:space="preserve">第十八條    </w:t>
      </w:r>
      <w:proofErr w:type="gramStart"/>
      <w:r>
        <w:rPr>
          <w:rFonts w:ascii="標楷體" w:eastAsia="標楷體" w:hAnsi="標楷體" w:cs="標楷體"/>
          <w:color w:val="000000"/>
          <w:sz w:val="28"/>
          <w:szCs w:val="28"/>
        </w:rPr>
        <w:t>課照中心</w:t>
      </w:r>
      <w:proofErr w:type="gramEnd"/>
      <w:r>
        <w:rPr>
          <w:rFonts w:ascii="標楷體" w:eastAsia="標楷體" w:hAnsi="標楷體" w:cs="標楷體"/>
          <w:color w:val="000000"/>
          <w:sz w:val="28"/>
          <w:szCs w:val="28"/>
        </w:rPr>
        <w:t>應訂定個人資料檔案安全維護查核機制，定期或不定期檢查安全維護計畫之執行情形，並將檢查結果，向負責人提出報告。</w:t>
      </w:r>
    </w:p>
    <w:p w:rsidR="0061261D" w:rsidRDefault="009664F6">
      <w:pPr>
        <w:pStyle w:val="Standard"/>
        <w:wordWrap w:val="0"/>
        <w:overflowPunct w:val="0"/>
        <w:autoSpaceDE w:val="0"/>
        <w:snapToGrid w:val="0"/>
        <w:spacing w:before="180"/>
        <w:ind w:left="1120" w:hanging="1120"/>
        <w:jc w:val="both"/>
      </w:pPr>
      <w:r>
        <w:rPr>
          <w:rFonts w:ascii="標楷體" w:eastAsia="標楷體" w:hAnsi="標楷體" w:cs="標楷體"/>
          <w:color w:val="000000"/>
          <w:sz w:val="28"/>
          <w:szCs w:val="28"/>
        </w:rPr>
        <w:t xml:space="preserve">第十九條    </w:t>
      </w:r>
      <w:proofErr w:type="gramStart"/>
      <w:r>
        <w:rPr>
          <w:rFonts w:ascii="標楷體" w:eastAsia="標楷體" w:hAnsi="標楷體" w:cs="標楷體"/>
          <w:color w:val="000000"/>
          <w:sz w:val="28"/>
          <w:szCs w:val="28"/>
        </w:rPr>
        <w:t>課照中心</w:t>
      </w:r>
      <w:proofErr w:type="gramEnd"/>
      <w:r>
        <w:rPr>
          <w:rFonts w:ascii="標楷體" w:eastAsia="標楷體" w:hAnsi="標楷體" w:cs="標楷體"/>
          <w:color w:val="000000"/>
          <w:sz w:val="28"/>
          <w:szCs w:val="28"/>
        </w:rPr>
        <w:t>應</w:t>
      </w:r>
      <w:proofErr w:type="gramStart"/>
      <w:r>
        <w:rPr>
          <w:rFonts w:ascii="標楷體" w:eastAsia="標楷體" w:hAnsi="標楷體" w:cs="標楷體"/>
          <w:color w:val="000000"/>
          <w:sz w:val="28"/>
          <w:szCs w:val="28"/>
        </w:rPr>
        <w:t>採</w:t>
      </w:r>
      <w:proofErr w:type="gramEnd"/>
      <w:r>
        <w:rPr>
          <w:rFonts w:ascii="標楷體" w:eastAsia="標楷體" w:hAnsi="標楷體" w:cs="標楷體"/>
          <w:color w:val="000000"/>
          <w:sz w:val="28"/>
          <w:szCs w:val="28"/>
        </w:rPr>
        <w:t>行適當措施，留存個人資料使用紀錄、自動化機器設備之軌跡資料或其他相關之證據資料，以供必要時說明其所定安全維護計畫之執行情況。</w:t>
      </w:r>
    </w:p>
    <w:p w:rsidR="0061261D" w:rsidRDefault="009664F6">
      <w:pPr>
        <w:pStyle w:val="Standard"/>
        <w:wordWrap w:val="0"/>
        <w:overflowPunct w:val="0"/>
        <w:autoSpaceDE w:val="0"/>
        <w:snapToGrid w:val="0"/>
        <w:spacing w:before="180"/>
        <w:ind w:left="1120" w:hanging="1120"/>
        <w:jc w:val="both"/>
      </w:pPr>
      <w:r>
        <w:rPr>
          <w:rFonts w:ascii="標楷體" w:eastAsia="標楷體" w:hAnsi="標楷體" w:cs="標楷體"/>
          <w:color w:val="000000"/>
          <w:sz w:val="28"/>
          <w:szCs w:val="28"/>
        </w:rPr>
        <w:t xml:space="preserve">第二十條    </w:t>
      </w:r>
      <w:proofErr w:type="gramStart"/>
      <w:r>
        <w:rPr>
          <w:rFonts w:ascii="標楷體" w:eastAsia="標楷體" w:hAnsi="標楷體" w:cs="標楷體"/>
          <w:color w:val="000000"/>
          <w:sz w:val="28"/>
          <w:szCs w:val="28"/>
        </w:rPr>
        <w:t>課照中心</w:t>
      </w:r>
      <w:proofErr w:type="gramEnd"/>
      <w:r>
        <w:rPr>
          <w:rFonts w:ascii="標楷體" w:eastAsia="標楷體" w:hAnsi="標楷體" w:cs="標楷體"/>
          <w:color w:val="000000"/>
          <w:sz w:val="28"/>
          <w:szCs w:val="28"/>
        </w:rPr>
        <w:t>對於個人資料蒐集、處理及利用，應符合本法第十九條及第二十條規定，並應定期或不定期對其所屬人員施以教育訓練或認知宣導，使其明瞭個人資料保護相關法令規定、責任範圍、作業程序及應遵守之相關措施。</w:t>
      </w:r>
    </w:p>
    <w:p w:rsidR="0061261D" w:rsidRDefault="009664F6">
      <w:pPr>
        <w:pStyle w:val="Standard"/>
        <w:wordWrap w:val="0"/>
        <w:overflowPunct w:val="0"/>
        <w:autoSpaceDE w:val="0"/>
        <w:snapToGrid w:val="0"/>
        <w:spacing w:before="180"/>
        <w:ind w:left="1372" w:hanging="1386"/>
        <w:jc w:val="both"/>
      </w:pPr>
      <w:r>
        <w:rPr>
          <w:rFonts w:ascii="標楷體" w:eastAsia="標楷體" w:hAnsi="標楷體" w:cs="標楷體"/>
          <w:color w:val="000000"/>
          <w:sz w:val="28"/>
          <w:szCs w:val="28"/>
        </w:rPr>
        <w:t xml:space="preserve">第二十一條    </w:t>
      </w:r>
      <w:proofErr w:type="gramStart"/>
      <w:r>
        <w:rPr>
          <w:rFonts w:ascii="標楷體" w:eastAsia="標楷體" w:hAnsi="標楷體" w:cs="標楷體"/>
          <w:color w:val="000000"/>
          <w:sz w:val="28"/>
          <w:szCs w:val="28"/>
        </w:rPr>
        <w:t>課照中心</w:t>
      </w:r>
      <w:proofErr w:type="gramEnd"/>
      <w:r>
        <w:rPr>
          <w:rFonts w:ascii="標楷體" w:eastAsia="標楷體" w:hAnsi="標楷體" w:cs="標楷體"/>
          <w:color w:val="000000"/>
          <w:sz w:val="28"/>
          <w:szCs w:val="28"/>
        </w:rPr>
        <w:t>業務終止後，其保有之個人資料之處理方式及留存紀錄如下：</w:t>
      </w:r>
    </w:p>
    <w:p w:rsidR="0061261D" w:rsidRDefault="009664F6">
      <w:pPr>
        <w:pStyle w:val="Standard"/>
        <w:wordWrap w:val="0"/>
        <w:overflowPunct w:val="0"/>
        <w:autoSpaceDE w:val="0"/>
        <w:snapToGrid w:val="0"/>
        <w:ind w:left="2491" w:hanging="518"/>
        <w:jc w:val="both"/>
        <w:rPr>
          <w:rFonts w:ascii="標楷體" w:eastAsia="標楷體" w:hAnsi="標楷體" w:cs="標楷體"/>
          <w:color w:val="000000"/>
          <w:sz w:val="28"/>
          <w:szCs w:val="28"/>
        </w:rPr>
      </w:pPr>
      <w:r>
        <w:rPr>
          <w:rFonts w:ascii="標楷體" w:eastAsia="標楷體" w:hAnsi="標楷體" w:cs="標楷體"/>
          <w:color w:val="000000"/>
          <w:sz w:val="28"/>
          <w:szCs w:val="28"/>
        </w:rPr>
        <w:t>一、銷毀：銷毀之方法、時間、地點及證明銷毀之方式。</w:t>
      </w:r>
    </w:p>
    <w:p w:rsidR="0061261D" w:rsidRDefault="009664F6">
      <w:pPr>
        <w:pStyle w:val="Standard"/>
        <w:wordWrap w:val="0"/>
        <w:overflowPunct w:val="0"/>
        <w:autoSpaceDE w:val="0"/>
        <w:snapToGrid w:val="0"/>
        <w:ind w:left="2491" w:hanging="518"/>
        <w:jc w:val="both"/>
        <w:rPr>
          <w:rFonts w:ascii="標楷體" w:eastAsia="標楷體" w:hAnsi="標楷體" w:cs="標楷體"/>
          <w:color w:val="000000"/>
          <w:sz w:val="28"/>
          <w:szCs w:val="28"/>
        </w:rPr>
      </w:pPr>
      <w:r>
        <w:rPr>
          <w:rFonts w:ascii="標楷體" w:eastAsia="標楷體" w:hAnsi="標楷體" w:cs="標楷體"/>
          <w:color w:val="000000"/>
          <w:sz w:val="28"/>
          <w:szCs w:val="28"/>
        </w:rPr>
        <w:t>二、移轉：移轉之原因、對象、方法、時間、地點及受移轉對象得保有該項個人資料之合法依據。</w:t>
      </w:r>
    </w:p>
    <w:p w:rsidR="0061261D" w:rsidRDefault="009664F6">
      <w:pPr>
        <w:pStyle w:val="Standard"/>
        <w:wordWrap w:val="0"/>
        <w:overflowPunct w:val="0"/>
        <w:autoSpaceDE w:val="0"/>
        <w:snapToGrid w:val="0"/>
        <w:ind w:left="2491" w:hanging="518"/>
        <w:jc w:val="both"/>
      </w:pPr>
      <w:r>
        <w:rPr>
          <w:rFonts w:ascii="標楷體" w:eastAsia="標楷體" w:hAnsi="標楷體" w:cs="標楷體"/>
          <w:color w:val="000000"/>
          <w:sz w:val="28"/>
          <w:szCs w:val="28"/>
        </w:rPr>
        <w:t>三、其他刪除、停止處理或利用個人資料：刪除、停止處理或利用之方法、時間或地點。</w:t>
      </w:r>
    </w:p>
    <w:p w:rsidR="0061261D" w:rsidRDefault="009664F6">
      <w:pPr>
        <w:pStyle w:val="Standard"/>
        <w:wordWrap w:val="0"/>
        <w:overflowPunct w:val="0"/>
        <w:autoSpaceDE w:val="0"/>
        <w:snapToGrid w:val="0"/>
        <w:ind w:left="1416" w:firstLine="554"/>
        <w:jc w:val="both"/>
      </w:pPr>
      <w:r>
        <w:rPr>
          <w:rFonts w:ascii="標楷體" w:eastAsia="標楷體" w:hAnsi="標楷體" w:cs="標楷體"/>
          <w:color w:val="000000"/>
          <w:sz w:val="28"/>
          <w:szCs w:val="28"/>
        </w:rPr>
        <w:t>前項紀錄應至少留存五年。</w:t>
      </w:r>
    </w:p>
    <w:p w:rsidR="0061261D" w:rsidRDefault="009664F6">
      <w:pPr>
        <w:pStyle w:val="Standard"/>
        <w:wordWrap w:val="0"/>
        <w:overflowPunct w:val="0"/>
        <w:autoSpaceDE w:val="0"/>
        <w:snapToGrid w:val="0"/>
        <w:spacing w:before="180"/>
        <w:ind w:left="1372" w:hanging="1386"/>
        <w:jc w:val="both"/>
      </w:pPr>
      <w:r>
        <w:rPr>
          <w:rFonts w:ascii="標楷體" w:eastAsia="標楷體" w:hAnsi="標楷體" w:cs="標楷體"/>
          <w:color w:val="000000"/>
          <w:sz w:val="28"/>
          <w:szCs w:val="28"/>
        </w:rPr>
        <w:t xml:space="preserve">第二十二條   </w:t>
      </w:r>
      <w:proofErr w:type="gramStart"/>
      <w:r>
        <w:rPr>
          <w:rFonts w:ascii="標楷體" w:eastAsia="標楷體" w:hAnsi="標楷體" w:cs="標楷體"/>
          <w:color w:val="000000"/>
          <w:sz w:val="28"/>
          <w:szCs w:val="28"/>
        </w:rPr>
        <w:t>課照中心</w:t>
      </w:r>
      <w:proofErr w:type="gramEnd"/>
      <w:r>
        <w:rPr>
          <w:rFonts w:ascii="標楷體" w:eastAsia="標楷體" w:hAnsi="標楷體" w:cs="標楷體"/>
          <w:color w:val="000000"/>
          <w:sz w:val="28"/>
          <w:szCs w:val="28"/>
        </w:rPr>
        <w:t>應參酌安全維護計畫執行狀況、技術發展、法令依據修正等因素，檢視所定安全維護計畫是否合宜，必要時應予以修正。</w:t>
      </w:r>
    </w:p>
    <w:p w:rsidR="0061261D" w:rsidRDefault="009664F6">
      <w:pPr>
        <w:pStyle w:val="Standard"/>
        <w:wordWrap w:val="0"/>
        <w:overflowPunct w:val="0"/>
        <w:autoSpaceDE w:val="0"/>
        <w:snapToGrid w:val="0"/>
        <w:spacing w:before="180"/>
        <w:ind w:left="1120" w:hanging="1120"/>
        <w:jc w:val="both"/>
      </w:pPr>
      <w:r>
        <w:rPr>
          <w:rFonts w:ascii="標楷體" w:eastAsia="標楷體" w:hAnsi="標楷體" w:cs="標楷體"/>
          <w:color w:val="000000"/>
          <w:sz w:val="28"/>
          <w:szCs w:val="28"/>
        </w:rPr>
        <w:t>第二十三條   本辦法自發布日施行。</w:t>
      </w:r>
    </w:p>
    <w:p w:rsidR="0061261D" w:rsidRDefault="0061261D">
      <w:pPr>
        <w:pStyle w:val="Standard"/>
        <w:wordWrap w:val="0"/>
        <w:overflowPunct w:val="0"/>
        <w:autoSpaceDE w:val="0"/>
        <w:snapToGrid w:val="0"/>
        <w:ind w:left="2080" w:hanging="1120"/>
        <w:jc w:val="both"/>
        <w:rPr>
          <w:rFonts w:ascii="標楷體" w:eastAsia="標楷體" w:hAnsi="標楷體" w:cs="標楷體"/>
          <w:color w:val="000000"/>
          <w:sz w:val="28"/>
          <w:szCs w:val="28"/>
        </w:rPr>
      </w:pPr>
    </w:p>
    <w:sectPr w:rsidR="0061261D">
      <w:footerReference w:type="default" r:id="rId8"/>
      <w:pgSz w:w="11906" w:h="16838"/>
      <w:pgMar w:top="1440" w:right="1797" w:bottom="1440" w:left="1797" w:header="720" w:footer="9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CD9" w:rsidRDefault="00CA2CD9">
      <w:r>
        <w:separator/>
      </w:r>
    </w:p>
  </w:endnote>
  <w:endnote w:type="continuationSeparator" w:id="0">
    <w:p w:rsidR="00CA2CD9" w:rsidRDefault="00CA2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新細明體, PMingLiU">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細明體, MingLiU">
    <w:charset w:val="00"/>
    <w:family w:val="modern"/>
    <w:pitch w:val="default"/>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超研澤粗楷, 新細明體">
    <w:charset w:val="00"/>
    <w:family w:val="moder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38F" w:rsidRDefault="00CA2CD9">
    <w:pPr>
      <w:pStyle w:val="a6"/>
      <w:tabs>
        <w:tab w:val="left" w:pos="211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CD9" w:rsidRDefault="00CA2CD9">
      <w:r>
        <w:rPr>
          <w:color w:val="000000"/>
        </w:rPr>
        <w:separator/>
      </w:r>
    </w:p>
  </w:footnote>
  <w:footnote w:type="continuationSeparator" w:id="0">
    <w:p w:rsidR="00CA2CD9" w:rsidRDefault="00CA2C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D5188"/>
    <w:multiLevelType w:val="multilevel"/>
    <w:tmpl w:val="16A0514A"/>
    <w:styleLink w:val="WW8Num19"/>
    <w:lvl w:ilvl="0">
      <w:start w:val="1"/>
      <w:numFmt w:val="japaneseCounting"/>
      <w:lvlText w:val="%1、"/>
      <w:lvlJc w:val="left"/>
      <w:pPr>
        <w:ind w:left="1005" w:hanging="720"/>
      </w:pPr>
    </w:lvl>
    <w:lvl w:ilvl="1">
      <w:start w:val="1"/>
      <w:numFmt w:val="ideographTraditional"/>
      <w:lvlText w:val="%2、"/>
      <w:lvlJc w:val="left"/>
      <w:pPr>
        <w:ind w:left="1245" w:hanging="480"/>
      </w:pPr>
    </w:lvl>
    <w:lvl w:ilvl="2">
      <w:start w:val="1"/>
      <w:numFmt w:val="lowerRoman"/>
      <w:lvlText w:val="%3."/>
      <w:lvlJc w:val="right"/>
      <w:pPr>
        <w:ind w:left="1725" w:hanging="480"/>
      </w:pPr>
    </w:lvl>
    <w:lvl w:ilvl="3">
      <w:start w:val="1"/>
      <w:numFmt w:val="decimal"/>
      <w:lvlText w:val="%4."/>
      <w:lvlJc w:val="left"/>
      <w:pPr>
        <w:ind w:left="2205" w:hanging="480"/>
      </w:pPr>
    </w:lvl>
    <w:lvl w:ilvl="4">
      <w:start w:val="1"/>
      <w:numFmt w:val="ideographTraditional"/>
      <w:lvlText w:val="%5、"/>
      <w:lvlJc w:val="left"/>
      <w:pPr>
        <w:ind w:left="2685" w:hanging="480"/>
      </w:pPr>
    </w:lvl>
    <w:lvl w:ilvl="5">
      <w:start w:val="1"/>
      <w:numFmt w:val="lowerRoman"/>
      <w:lvlText w:val="%6."/>
      <w:lvlJc w:val="right"/>
      <w:pPr>
        <w:ind w:left="3165" w:hanging="480"/>
      </w:pPr>
    </w:lvl>
    <w:lvl w:ilvl="6">
      <w:start w:val="1"/>
      <w:numFmt w:val="decimal"/>
      <w:lvlText w:val="%7."/>
      <w:lvlJc w:val="left"/>
      <w:pPr>
        <w:ind w:left="3645" w:hanging="480"/>
      </w:pPr>
    </w:lvl>
    <w:lvl w:ilvl="7">
      <w:start w:val="1"/>
      <w:numFmt w:val="ideographTraditional"/>
      <w:lvlText w:val="%8、"/>
      <w:lvlJc w:val="left"/>
      <w:pPr>
        <w:ind w:left="4125" w:hanging="480"/>
      </w:pPr>
    </w:lvl>
    <w:lvl w:ilvl="8">
      <w:start w:val="1"/>
      <w:numFmt w:val="lowerRoman"/>
      <w:lvlText w:val="%9."/>
      <w:lvlJc w:val="right"/>
      <w:pPr>
        <w:ind w:left="4605" w:hanging="480"/>
      </w:pPr>
    </w:lvl>
  </w:abstractNum>
  <w:abstractNum w:abstractNumId="1">
    <w:nsid w:val="0A0C1C29"/>
    <w:multiLevelType w:val="multilevel"/>
    <w:tmpl w:val="154EBD6C"/>
    <w:styleLink w:val="WW8Num25"/>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nsid w:val="0F0F60B1"/>
    <w:multiLevelType w:val="multilevel"/>
    <w:tmpl w:val="5B2E7158"/>
    <w:styleLink w:val="WW8Num9"/>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nsid w:val="132E7D13"/>
    <w:multiLevelType w:val="multilevel"/>
    <w:tmpl w:val="2D1858A4"/>
    <w:styleLink w:val="WW8Num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13B248C7"/>
    <w:multiLevelType w:val="multilevel"/>
    <w:tmpl w:val="5B763154"/>
    <w:styleLink w:val="WW8Num28"/>
    <w:lvl w:ilvl="0">
      <w:start w:val="1"/>
      <w:numFmt w:val="japaneseCounting"/>
      <w:lvlText w:val="%1、"/>
      <w:lvlJc w:val="left"/>
      <w:pPr>
        <w:ind w:left="48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nsid w:val="146C3860"/>
    <w:multiLevelType w:val="multilevel"/>
    <w:tmpl w:val="E5660410"/>
    <w:styleLink w:val="WW8Num23"/>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nsid w:val="1CD13062"/>
    <w:multiLevelType w:val="multilevel"/>
    <w:tmpl w:val="AE70782E"/>
    <w:styleLink w:val="WW8Num24"/>
    <w:lvl w:ilvl="0">
      <w:start w:val="1"/>
      <w:numFmt w:val="japaneseCounting"/>
      <w:lvlText w:val="%1、"/>
      <w:lvlJc w:val="left"/>
      <w:pPr>
        <w:ind w:left="510" w:hanging="51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nsid w:val="1DD10BB3"/>
    <w:multiLevelType w:val="multilevel"/>
    <w:tmpl w:val="EC621064"/>
    <w:styleLink w:val="WW8Num22"/>
    <w:lvl w:ilvl="0">
      <w:start w:val="1"/>
      <w:numFmt w:val="japaneseCounting"/>
      <w:lvlText w:val="（%1）"/>
      <w:lvlJc w:val="left"/>
      <w:pPr>
        <w:ind w:left="1200" w:hanging="720"/>
      </w:pPr>
      <w:rPr>
        <w:rFonts w:cs="Times New Roman"/>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8">
    <w:nsid w:val="20650BF5"/>
    <w:multiLevelType w:val="multilevel"/>
    <w:tmpl w:val="E7AC37F0"/>
    <w:styleLink w:val="WW8Num16"/>
    <w:lvl w:ilvl="0">
      <w:start w:val="1"/>
      <w:numFmt w:val="japaneseCounting"/>
      <w:lvlText w:val="%1、"/>
      <w:lvlJc w:val="left"/>
      <w:pPr>
        <w:ind w:left="722" w:hanging="720"/>
      </w:pPr>
    </w:lvl>
    <w:lvl w:ilvl="1">
      <w:start w:val="1"/>
      <w:numFmt w:val="ideographTraditional"/>
      <w:lvlText w:val="%2、"/>
      <w:lvlJc w:val="left"/>
      <w:pPr>
        <w:ind w:left="962" w:hanging="480"/>
      </w:pPr>
    </w:lvl>
    <w:lvl w:ilvl="2">
      <w:start w:val="1"/>
      <w:numFmt w:val="lowerRoman"/>
      <w:lvlText w:val="%3."/>
      <w:lvlJc w:val="right"/>
      <w:pPr>
        <w:ind w:left="1442" w:hanging="480"/>
      </w:pPr>
    </w:lvl>
    <w:lvl w:ilvl="3">
      <w:start w:val="1"/>
      <w:numFmt w:val="decimal"/>
      <w:lvlText w:val="%4."/>
      <w:lvlJc w:val="left"/>
      <w:pPr>
        <w:ind w:left="1922" w:hanging="480"/>
      </w:pPr>
    </w:lvl>
    <w:lvl w:ilvl="4">
      <w:start w:val="1"/>
      <w:numFmt w:val="ideographTraditional"/>
      <w:lvlText w:val="%5、"/>
      <w:lvlJc w:val="left"/>
      <w:pPr>
        <w:ind w:left="2402" w:hanging="480"/>
      </w:pPr>
    </w:lvl>
    <w:lvl w:ilvl="5">
      <w:start w:val="1"/>
      <w:numFmt w:val="lowerRoman"/>
      <w:lvlText w:val="%6."/>
      <w:lvlJc w:val="right"/>
      <w:pPr>
        <w:ind w:left="2882" w:hanging="480"/>
      </w:pPr>
    </w:lvl>
    <w:lvl w:ilvl="6">
      <w:start w:val="1"/>
      <w:numFmt w:val="decimal"/>
      <w:lvlText w:val="%7."/>
      <w:lvlJc w:val="left"/>
      <w:pPr>
        <w:ind w:left="3362" w:hanging="480"/>
      </w:pPr>
    </w:lvl>
    <w:lvl w:ilvl="7">
      <w:start w:val="1"/>
      <w:numFmt w:val="ideographTraditional"/>
      <w:lvlText w:val="%8、"/>
      <w:lvlJc w:val="left"/>
      <w:pPr>
        <w:ind w:left="3842" w:hanging="480"/>
      </w:pPr>
    </w:lvl>
    <w:lvl w:ilvl="8">
      <w:start w:val="1"/>
      <w:numFmt w:val="lowerRoman"/>
      <w:lvlText w:val="%9."/>
      <w:lvlJc w:val="right"/>
      <w:pPr>
        <w:ind w:left="4322" w:hanging="480"/>
      </w:pPr>
    </w:lvl>
  </w:abstractNum>
  <w:abstractNum w:abstractNumId="9">
    <w:nsid w:val="215E541D"/>
    <w:multiLevelType w:val="multilevel"/>
    <w:tmpl w:val="46721A7C"/>
    <w:styleLink w:val="WW8Num34"/>
    <w:lvl w:ilvl="0">
      <w:start w:val="1"/>
      <w:numFmt w:val="japaneseCounting"/>
      <w:lvlText w:val="%1、"/>
      <w:lvlJc w:val="left"/>
      <w:pPr>
        <w:ind w:left="390" w:hanging="390"/>
      </w:pPr>
      <w:rPr>
        <w:rFonts w:cs="Times New Roman"/>
        <w:color w:val="FF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nsid w:val="242D14E8"/>
    <w:multiLevelType w:val="multilevel"/>
    <w:tmpl w:val="87EA7C8E"/>
    <w:styleLink w:val="WW8Num17"/>
    <w:lvl w:ilvl="0">
      <w:start w:val="1"/>
      <w:numFmt w:val="japaneseCounting"/>
      <w:lvlText w:val="%1、"/>
      <w:lvlJc w:val="left"/>
      <w:pPr>
        <w:ind w:left="960" w:hanging="480"/>
      </w:pPr>
      <w:rPr>
        <w:rFonts w:ascii="Calibri" w:hAnsi="Calibri" w:cs="標楷體"/>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1">
    <w:nsid w:val="246A3017"/>
    <w:multiLevelType w:val="multilevel"/>
    <w:tmpl w:val="490E0BAE"/>
    <w:styleLink w:val="WW8Num31"/>
    <w:lvl w:ilvl="0">
      <w:start w:val="1"/>
      <w:numFmt w:val="japaneseCounting"/>
      <w:lvlText w:val="%1、"/>
      <w:lvlJc w:val="left"/>
      <w:pPr>
        <w:ind w:left="750" w:hanging="51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12">
    <w:nsid w:val="26FD607E"/>
    <w:multiLevelType w:val="multilevel"/>
    <w:tmpl w:val="0930DAA0"/>
    <w:styleLink w:val="WW8Num14"/>
    <w:lvl w:ilvl="0">
      <w:start w:val="1"/>
      <w:numFmt w:val="japaneseCounting"/>
      <w:lvlText w:val="%1、"/>
      <w:lvlJc w:val="left"/>
      <w:pPr>
        <w:ind w:left="960" w:hanging="480"/>
      </w:pPr>
      <w:rPr>
        <w:rFonts w:ascii="Calibri" w:hAnsi="Calibri" w:cs="標楷體"/>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3">
    <w:nsid w:val="2B162BFD"/>
    <w:multiLevelType w:val="multilevel"/>
    <w:tmpl w:val="8C0645F0"/>
    <w:styleLink w:val="WW8Num12"/>
    <w:lvl w:ilvl="0">
      <w:start w:val="1"/>
      <w:numFmt w:val="japaneseCounting"/>
      <w:lvlText w:val="%1、"/>
      <w:lvlJc w:val="left"/>
      <w:pPr>
        <w:ind w:left="360" w:hanging="36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nsid w:val="2B495376"/>
    <w:multiLevelType w:val="multilevel"/>
    <w:tmpl w:val="51FCA976"/>
    <w:styleLink w:val="WW8Num6"/>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nsid w:val="31083398"/>
    <w:multiLevelType w:val="multilevel"/>
    <w:tmpl w:val="118ED828"/>
    <w:styleLink w:val="WW8Num3"/>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32F80C03"/>
    <w:multiLevelType w:val="multilevel"/>
    <w:tmpl w:val="05142F64"/>
    <w:styleLink w:val="WW8Num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nsid w:val="335C18E4"/>
    <w:multiLevelType w:val="multilevel"/>
    <w:tmpl w:val="2B5E4308"/>
    <w:styleLink w:val="WW8Num32"/>
    <w:lvl w:ilvl="0">
      <w:start w:val="1"/>
      <w:numFmt w:val="japaneseCounting"/>
      <w:lvlText w:val="%1、"/>
      <w:lvlJc w:val="left"/>
      <w:pPr>
        <w:ind w:left="1080" w:hanging="600"/>
      </w:pPr>
      <w:rPr>
        <w:rFonts w:ascii="標楷體" w:eastAsia="標楷體" w:hAnsi="標楷體" w:cs="標楷體"/>
        <w:sz w:val="28"/>
        <w:szCs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8">
    <w:nsid w:val="351F1168"/>
    <w:multiLevelType w:val="multilevel"/>
    <w:tmpl w:val="DDB4E1B0"/>
    <w:styleLink w:val="WW8Num35"/>
    <w:lvl w:ilvl="0">
      <w:start w:val="1"/>
      <w:numFmt w:val="japaneseCounting"/>
      <w:lvlText w:val="%1、"/>
      <w:lvlJc w:val="left"/>
      <w:pPr>
        <w:ind w:left="420" w:hanging="4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nsid w:val="36202625"/>
    <w:multiLevelType w:val="multilevel"/>
    <w:tmpl w:val="12988EE8"/>
    <w:styleLink w:val="WW8Num26"/>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nsid w:val="3ED40209"/>
    <w:multiLevelType w:val="multilevel"/>
    <w:tmpl w:val="66401670"/>
    <w:styleLink w:val="WW8Num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nsid w:val="411B7122"/>
    <w:multiLevelType w:val="multilevel"/>
    <w:tmpl w:val="DC6E258A"/>
    <w:styleLink w:val="WW8Num1"/>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1.%2.%3."/>
      <w:lvlJc w:val="left"/>
      <w:pPr>
        <w:ind w:left="1440" w:hanging="480"/>
      </w:pPr>
    </w:lvl>
    <w:lvl w:ilvl="3">
      <w:start w:val="1"/>
      <w:numFmt w:val="decimal"/>
      <w:lvlText w:val="%1.%2.%3.%4."/>
      <w:lvlJc w:val="left"/>
      <w:pPr>
        <w:ind w:left="1920" w:hanging="480"/>
      </w:pPr>
    </w:lvl>
    <w:lvl w:ilvl="4">
      <w:start w:val="1"/>
      <w:numFmt w:val="decimal"/>
      <w:lvlText w:val="%1.%2.%3.%4.%5、"/>
      <w:lvlJc w:val="left"/>
      <w:pPr>
        <w:ind w:left="2400" w:hanging="480"/>
      </w:pPr>
    </w:lvl>
    <w:lvl w:ilvl="5">
      <w:start w:val="1"/>
      <w:numFmt w:val="lowerRoman"/>
      <w:lvlText w:val="%1.%2.%3.%4.%5.%6."/>
      <w:lvlJc w:val="left"/>
      <w:pPr>
        <w:ind w:left="2880" w:hanging="480"/>
      </w:pPr>
    </w:lvl>
    <w:lvl w:ilvl="6">
      <w:start w:val="1"/>
      <w:numFmt w:val="decimal"/>
      <w:lvlText w:val="%1.%2.%3.%4.%5.%6.%7."/>
      <w:lvlJc w:val="left"/>
      <w:pPr>
        <w:ind w:left="3360" w:hanging="480"/>
      </w:pPr>
    </w:lvl>
    <w:lvl w:ilvl="7">
      <w:start w:val="1"/>
      <w:numFmt w:val="decimal"/>
      <w:lvlText w:val="%1.%2.%3.%4.%5.%6.%7.%8、"/>
      <w:lvlJc w:val="left"/>
      <w:pPr>
        <w:ind w:left="3840" w:hanging="480"/>
      </w:pPr>
    </w:lvl>
    <w:lvl w:ilvl="8">
      <w:start w:val="1"/>
      <w:numFmt w:val="lowerRoman"/>
      <w:lvlText w:val="%1.%2.%3.%4.%5.%6.%7.%8.%9."/>
      <w:lvlJc w:val="left"/>
      <w:pPr>
        <w:ind w:left="4320" w:hanging="480"/>
      </w:pPr>
    </w:lvl>
  </w:abstractNum>
  <w:abstractNum w:abstractNumId="22">
    <w:nsid w:val="4EB24724"/>
    <w:multiLevelType w:val="multilevel"/>
    <w:tmpl w:val="D6287880"/>
    <w:styleLink w:val="WW8Num13"/>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nsid w:val="563B7098"/>
    <w:multiLevelType w:val="multilevel"/>
    <w:tmpl w:val="B0402B6C"/>
    <w:styleLink w:val="WW8Num15"/>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nsid w:val="5D7B7506"/>
    <w:multiLevelType w:val="multilevel"/>
    <w:tmpl w:val="8286C724"/>
    <w:styleLink w:val="WW8Num11"/>
    <w:lvl w:ilvl="0">
      <w:start w:val="1"/>
      <w:numFmt w:val="decimal"/>
      <w:lvlText w:val="%1."/>
      <w:lvlJc w:val="left"/>
      <w:pPr>
        <w:ind w:left="394" w:hanging="360"/>
      </w:pPr>
    </w:lvl>
    <w:lvl w:ilvl="1">
      <w:start w:val="1"/>
      <w:numFmt w:val="ideographTraditional"/>
      <w:lvlText w:val="%2、"/>
      <w:lvlJc w:val="left"/>
      <w:pPr>
        <w:ind w:left="994" w:hanging="480"/>
      </w:pPr>
    </w:lvl>
    <w:lvl w:ilvl="2">
      <w:start w:val="1"/>
      <w:numFmt w:val="lowerRoman"/>
      <w:lvlText w:val="%3."/>
      <w:lvlJc w:val="right"/>
      <w:pPr>
        <w:ind w:left="1474" w:hanging="480"/>
      </w:pPr>
    </w:lvl>
    <w:lvl w:ilvl="3">
      <w:start w:val="1"/>
      <w:numFmt w:val="decimal"/>
      <w:lvlText w:val="%4."/>
      <w:lvlJc w:val="left"/>
      <w:pPr>
        <w:ind w:left="1954" w:hanging="480"/>
      </w:pPr>
    </w:lvl>
    <w:lvl w:ilvl="4">
      <w:start w:val="1"/>
      <w:numFmt w:val="ideographTraditional"/>
      <w:lvlText w:val="%5、"/>
      <w:lvlJc w:val="left"/>
      <w:pPr>
        <w:ind w:left="2434" w:hanging="480"/>
      </w:pPr>
    </w:lvl>
    <w:lvl w:ilvl="5">
      <w:start w:val="1"/>
      <w:numFmt w:val="lowerRoman"/>
      <w:lvlText w:val="%6."/>
      <w:lvlJc w:val="right"/>
      <w:pPr>
        <w:ind w:left="2914" w:hanging="480"/>
      </w:pPr>
    </w:lvl>
    <w:lvl w:ilvl="6">
      <w:start w:val="1"/>
      <w:numFmt w:val="decimal"/>
      <w:lvlText w:val="%7."/>
      <w:lvlJc w:val="left"/>
      <w:pPr>
        <w:ind w:left="3394" w:hanging="480"/>
      </w:pPr>
    </w:lvl>
    <w:lvl w:ilvl="7">
      <w:start w:val="1"/>
      <w:numFmt w:val="ideographTraditional"/>
      <w:lvlText w:val="%8、"/>
      <w:lvlJc w:val="left"/>
      <w:pPr>
        <w:ind w:left="3874" w:hanging="480"/>
      </w:pPr>
    </w:lvl>
    <w:lvl w:ilvl="8">
      <w:start w:val="1"/>
      <w:numFmt w:val="lowerRoman"/>
      <w:lvlText w:val="%9."/>
      <w:lvlJc w:val="right"/>
      <w:pPr>
        <w:ind w:left="4354" w:hanging="480"/>
      </w:pPr>
    </w:lvl>
  </w:abstractNum>
  <w:abstractNum w:abstractNumId="25">
    <w:nsid w:val="5F325E04"/>
    <w:multiLevelType w:val="multilevel"/>
    <w:tmpl w:val="020CFEB6"/>
    <w:styleLink w:val="WW8Num21"/>
    <w:lvl w:ilvl="0">
      <w:start w:val="1"/>
      <w:numFmt w:val="japaneseCounting"/>
      <w:lvlText w:val="%1、"/>
      <w:lvlJc w:val="left"/>
      <w:pPr>
        <w:ind w:left="480" w:hanging="480"/>
      </w:pPr>
      <w:rPr>
        <w:rFonts w:ascii="Times New Roman"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nsid w:val="6148595D"/>
    <w:multiLevelType w:val="multilevel"/>
    <w:tmpl w:val="360265A2"/>
    <w:styleLink w:val="WW8Num7"/>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nsid w:val="6B4913E9"/>
    <w:multiLevelType w:val="multilevel"/>
    <w:tmpl w:val="1986B330"/>
    <w:styleLink w:val="WW8Num20"/>
    <w:lvl w:ilvl="0">
      <w:start w:val="1"/>
      <w:numFmt w:val="japaneseCounting"/>
      <w:lvlText w:val="%1、"/>
      <w:lvlJc w:val="left"/>
      <w:pPr>
        <w:ind w:left="1266" w:hanging="720"/>
      </w:pPr>
      <w:rPr>
        <w:sz w:val="28"/>
      </w:rPr>
    </w:lvl>
    <w:lvl w:ilvl="1">
      <w:start w:val="1"/>
      <w:numFmt w:val="ideographTraditional"/>
      <w:lvlText w:val="%2、"/>
      <w:lvlJc w:val="left"/>
      <w:pPr>
        <w:ind w:left="1506" w:hanging="480"/>
      </w:pPr>
    </w:lvl>
    <w:lvl w:ilvl="2">
      <w:start w:val="1"/>
      <w:numFmt w:val="lowerRoman"/>
      <w:lvlText w:val="%3."/>
      <w:lvlJc w:val="right"/>
      <w:pPr>
        <w:ind w:left="1986" w:hanging="480"/>
      </w:pPr>
    </w:lvl>
    <w:lvl w:ilvl="3">
      <w:start w:val="1"/>
      <w:numFmt w:val="decimal"/>
      <w:lvlText w:val="%4."/>
      <w:lvlJc w:val="left"/>
      <w:pPr>
        <w:ind w:left="2466" w:hanging="480"/>
      </w:pPr>
    </w:lvl>
    <w:lvl w:ilvl="4">
      <w:start w:val="1"/>
      <w:numFmt w:val="ideographTraditional"/>
      <w:lvlText w:val="%5、"/>
      <w:lvlJc w:val="left"/>
      <w:pPr>
        <w:ind w:left="2946" w:hanging="480"/>
      </w:pPr>
    </w:lvl>
    <w:lvl w:ilvl="5">
      <w:start w:val="1"/>
      <w:numFmt w:val="lowerRoman"/>
      <w:lvlText w:val="%6."/>
      <w:lvlJc w:val="right"/>
      <w:pPr>
        <w:ind w:left="3426" w:hanging="480"/>
      </w:pPr>
    </w:lvl>
    <w:lvl w:ilvl="6">
      <w:start w:val="1"/>
      <w:numFmt w:val="decimal"/>
      <w:lvlText w:val="%7."/>
      <w:lvlJc w:val="left"/>
      <w:pPr>
        <w:ind w:left="3906" w:hanging="480"/>
      </w:pPr>
    </w:lvl>
    <w:lvl w:ilvl="7">
      <w:start w:val="1"/>
      <w:numFmt w:val="ideographTraditional"/>
      <w:lvlText w:val="%8、"/>
      <w:lvlJc w:val="left"/>
      <w:pPr>
        <w:ind w:left="4386" w:hanging="480"/>
      </w:pPr>
    </w:lvl>
    <w:lvl w:ilvl="8">
      <w:start w:val="1"/>
      <w:numFmt w:val="lowerRoman"/>
      <w:lvlText w:val="%9."/>
      <w:lvlJc w:val="right"/>
      <w:pPr>
        <w:ind w:left="4866" w:hanging="480"/>
      </w:pPr>
    </w:lvl>
  </w:abstractNum>
  <w:abstractNum w:abstractNumId="28">
    <w:nsid w:val="6D935F41"/>
    <w:multiLevelType w:val="multilevel"/>
    <w:tmpl w:val="1A7C5128"/>
    <w:styleLink w:val="WW8Num10"/>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nsid w:val="74EB22E1"/>
    <w:multiLevelType w:val="multilevel"/>
    <w:tmpl w:val="AD4A937A"/>
    <w:styleLink w:val="WW8Num27"/>
    <w:lvl w:ilvl="0">
      <w:start w:val="1"/>
      <w:numFmt w:val="japaneseCounting"/>
      <w:lvlText w:val="%1、"/>
      <w:lvlJc w:val="left"/>
      <w:pPr>
        <w:ind w:left="975" w:hanging="510"/>
      </w:pPr>
    </w:lvl>
    <w:lvl w:ilvl="1">
      <w:start w:val="1"/>
      <w:numFmt w:val="ideographTraditional"/>
      <w:lvlText w:val="%2、"/>
      <w:lvlJc w:val="left"/>
      <w:pPr>
        <w:ind w:left="1425" w:hanging="480"/>
      </w:pPr>
    </w:lvl>
    <w:lvl w:ilvl="2">
      <w:start w:val="1"/>
      <w:numFmt w:val="lowerRoman"/>
      <w:lvlText w:val="%3."/>
      <w:lvlJc w:val="right"/>
      <w:pPr>
        <w:ind w:left="1905" w:hanging="480"/>
      </w:pPr>
    </w:lvl>
    <w:lvl w:ilvl="3">
      <w:start w:val="1"/>
      <w:numFmt w:val="decimal"/>
      <w:lvlText w:val="%4."/>
      <w:lvlJc w:val="left"/>
      <w:pPr>
        <w:ind w:left="2385" w:hanging="480"/>
      </w:pPr>
    </w:lvl>
    <w:lvl w:ilvl="4">
      <w:start w:val="1"/>
      <w:numFmt w:val="ideographTraditional"/>
      <w:lvlText w:val="%5、"/>
      <w:lvlJc w:val="left"/>
      <w:pPr>
        <w:ind w:left="2865" w:hanging="480"/>
      </w:pPr>
    </w:lvl>
    <w:lvl w:ilvl="5">
      <w:start w:val="1"/>
      <w:numFmt w:val="lowerRoman"/>
      <w:lvlText w:val="%6."/>
      <w:lvlJc w:val="right"/>
      <w:pPr>
        <w:ind w:left="3345" w:hanging="480"/>
      </w:pPr>
    </w:lvl>
    <w:lvl w:ilvl="6">
      <w:start w:val="1"/>
      <w:numFmt w:val="decimal"/>
      <w:lvlText w:val="%7."/>
      <w:lvlJc w:val="left"/>
      <w:pPr>
        <w:ind w:left="3825" w:hanging="480"/>
      </w:pPr>
    </w:lvl>
    <w:lvl w:ilvl="7">
      <w:start w:val="1"/>
      <w:numFmt w:val="ideographTraditional"/>
      <w:lvlText w:val="%8、"/>
      <w:lvlJc w:val="left"/>
      <w:pPr>
        <w:ind w:left="4305" w:hanging="480"/>
      </w:pPr>
    </w:lvl>
    <w:lvl w:ilvl="8">
      <w:start w:val="1"/>
      <w:numFmt w:val="lowerRoman"/>
      <w:lvlText w:val="%9."/>
      <w:lvlJc w:val="right"/>
      <w:pPr>
        <w:ind w:left="4785" w:hanging="480"/>
      </w:pPr>
    </w:lvl>
  </w:abstractNum>
  <w:abstractNum w:abstractNumId="30">
    <w:nsid w:val="7684099C"/>
    <w:multiLevelType w:val="multilevel"/>
    <w:tmpl w:val="A1E8EEE4"/>
    <w:styleLink w:val="WW8Num5"/>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76C24A2C"/>
    <w:multiLevelType w:val="multilevel"/>
    <w:tmpl w:val="90269086"/>
    <w:styleLink w:val="WW8Num29"/>
    <w:lvl w:ilvl="0">
      <w:start w:val="1"/>
      <w:numFmt w:val="japaneseCounting"/>
      <w:lvlText w:val="%1、"/>
      <w:lvlJc w:val="left"/>
      <w:pPr>
        <w:ind w:left="854" w:hanging="480"/>
      </w:pPr>
    </w:lvl>
    <w:lvl w:ilvl="1">
      <w:start w:val="1"/>
      <w:numFmt w:val="ideographTraditional"/>
      <w:lvlText w:val="%2、"/>
      <w:lvlJc w:val="left"/>
      <w:pPr>
        <w:ind w:left="1334" w:hanging="480"/>
      </w:pPr>
    </w:lvl>
    <w:lvl w:ilvl="2">
      <w:start w:val="1"/>
      <w:numFmt w:val="lowerRoman"/>
      <w:lvlText w:val="%3."/>
      <w:lvlJc w:val="right"/>
      <w:pPr>
        <w:ind w:left="1814" w:hanging="480"/>
      </w:pPr>
    </w:lvl>
    <w:lvl w:ilvl="3">
      <w:start w:val="1"/>
      <w:numFmt w:val="decimal"/>
      <w:lvlText w:val="%4."/>
      <w:lvlJc w:val="left"/>
      <w:pPr>
        <w:ind w:left="2294" w:hanging="480"/>
      </w:pPr>
    </w:lvl>
    <w:lvl w:ilvl="4">
      <w:start w:val="1"/>
      <w:numFmt w:val="ideographTraditional"/>
      <w:lvlText w:val="%5、"/>
      <w:lvlJc w:val="left"/>
      <w:pPr>
        <w:ind w:left="2774" w:hanging="480"/>
      </w:pPr>
    </w:lvl>
    <w:lvl w:ilvl="5">
      <w:start w:val="1"/>
      <w:numFmt w:val="lowerRoman"/>
      <w:lvlText w:val="%6."/>
      <w:lvlJc w:val="right"/>
      <w:pPr>
        <w:ind w:left="3254" w:hanging="480"/>
      </w:pPr>
    </w:lvl>
    <w:lvl w:ilvl="6">
      <w:start w:val="1"/>
      <w:numFmt w:val="decimal"/>
      <w:lvlText w:val="%7."/>
      <w:lvlJc w:val="left"/>
      <w:pPr>
        <w:ind w:left="3734" w:hanging="480"/>
      </w:pPr>
    </w:lvl>
    <w:lvl w:ilvl="7">
      <w:start w:val="1"/>
      <w:numFmt w:val="ideographTraditional"/>
      <w:lvlText w:val="%8、"/>
      <w:lvlJc w:val="left"/>
      <w:pPr>
        <w:ind w:left="4214" w:hanging="480"/>
      </w:pPr>
    </w:lvl>
    <w:lvl w:ilvl="8">
      <w:start w:val="1"/>
      <w:numFmt w:val="lowerRoman"/>
      <w:lvlText w:val="%9."/>
      <w:lvlJc w:val="right"/>
      <w:pPr>
        <w:ind w:left="4694" w:hanging="480"/>
      </w:pPr>
    </w:lvl>
  </w:abstractNum>
  <w:abstractNum w:abstractNumId="32">
    <w:nsid w:val="7A5A2CCA"/>
    <w:multiLevelType w:val="multilevel"/>
    <w:tmpl w:val="FEE07954"/>
    <w:styleLink w:val="WW8Num18"/>
    <w:lvl w:ilvl="0">
      <w:start w:val="1"/>
      <w:numFmt w:val="japaneseCounting"/>
      <w:lvlText w:val="%1、"/>
      <w:lvlJc w:val="left"/>
      <w:pPr>
        <w:ind w:left="750" w:hanging="51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33">
    <w:nsid w:val="7DE46BE6"/>
    <w:multiLevelType w:val="multilevel"/>
    <w:tmpl w:val="3C2CD0D6"/>
    <w:styleLink w:val="WW8Num30"/>
    <w:lvl w:ilvl="0">
      <w:start w:val="1"/>
      <w:numFmt w:val="japaneseCounting"/>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nsid w:val="7E99065E"/>
    <w:multiLevelType w:val="multilevel"/>
    <w:tmpl w:val="D06C3EB6"/>
    <w:styleLink w:val="WW8Num33"/>
    <w:lvl w:ilvl="0">
      <w:start w:val="1"/>
      <w:numFmt w:val="japaneseCounting"/>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1"/>
  </w:num>
  <w:num w:numId="2">
    <w:abstractNumId w:val="16"/>
  </w:num>
  <w:num w:numId="3">
    <w:abstractNumId w:val="15"/>
  </w:num>
  <w:num w:numId="4">
    <w:abstractNumId w:val="3"/>
  </w:num>
  <w:num w:numId="5">
    <w:abstractNumId w:val="30"/>
  </w:num>
  <w:num w:numId="6">
    <w:abstractNumId w:val="14"/>
  </w:num>
  <w:num w:numId="7">
    <w:abstractNumId w:val="26"/>
  </w:num>
  <w:num w:numId="8">
    <w:abstractNumId w:val="20"/>
  </w:num>
  <w:num w:numId="9">
    <w:abstractNumId w:val="2"/>
  </w:num>
  <w:num w:numId="10">
    <w:abstractNumId w:val="28"/>
  </w:num>
  <w:num w:numId="11">
    <w:abstractNumId w:val="24"/>
  </w:num>
  <w:num w:numId="12">
    <w:abstractNumId w:val="13"/>
  </w:num>
  <w:num w:numId="13">
    <w:abstractNumId w:val="22"/>
  </w:num>
  <w:num w:numId="14">
    <w:abstractNumId w:val="12"/>
  </w:num>
  <w:num w:numId="15">
    <w:abstractNumId w:val="23"/>
  </w:num>
  <w:num w:numId="16">
    <w:abstractNumId w:val="8"/>
  </w:num>
  <w:num w:numId="17">
    <w:abstractNumId w:val="10"/>
  </w:num>
  <w:num w:numId="18">
    <w:abstractNumId w:val="32"/>
  </w:num>
  <w:num w:numId="19">
    <w:abstractNumId w:val="0"/>
  </w:num>
  <w:num w:numId="20">
    <w:abstractNumId w:val="27"/>
  </w:num>
  <w:num w:numId="21">
    <w:abstractNumId w:val="25"/>
  </w:num>
  <w:num w:numId="22">
    <w:abstractNumId w:val="7"/>
  </w:num>
  <w:num w:numId="23">
    <w:abstractNumId w:val="5"/>
  </w:num>
  <w:num w:numId="24">
    <w:abstractNumId w:val="6"/>
  </w:num>
  <w:num w:numId="25">
    <w:abstractNumId w:val="1"/>
  </w:num>
  <w:num w:numId="26">
    <w:abstractNumId w:val="19"/>
  </w:num>
  <w:num w:numId="27">
    <w:abstractNumId w:val="29"/>
  </w:num>
  <w:num w:numId="28">
    <w:abstractNumId w:val="4"/>
  </w:num>
  <w:num w:numId="29">
    <w:abstractNumId w:val="31"/>
  </w:num>
  <w:num w:numId="30">
    <w:abstractNumId w:val="33"/>
  </w:num>
  <w:num w:numId="31">
    <w:abstractNumId w:val="11"/>
  </w:num>
  <w:num w:numId="32">
    <w:abstractNumId w:val="17"/>
  </w:num>
  <w:num w:numId="33">
    <w:abstractNumId w:val="34"/>
  </w:num>
  <w:num w:numId="34">
    <w:abstractNumId w:val="9"/>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61D"/>
    <w:rsid w:val="001D3BEE"/>
    <w:rsid w:val="002C5B08"/>
    <w:rsid w:val="002D19DF"/>
    <w:rsid w:val="0061261D"/>
    <w:rsid w:val="009664F6"/>
    <w:rsid w:val="00CA2CD9"/>
    <w:rsid w:val="00FC27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新細明體" w:hAnsi="Liberation Serif" w:cs="Lucida Sans"/>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Standard"/>
    <w:next w:val="Textbody"/>
    <w:pPr>
      <w:widowControl/>
      <w:spacing w:before="280" w:after="280"/>
      <w:outlineLvl w:val="2"/>
    </w:pPr>
    <w:rPr>
      <w:rFonts w:ascii="新細明體, PMingLiU" w:hAnsi="新細明體, PMingLiU" w:cs="新細明體, PMingLiU"/>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Calibri" w:eastAsia="新細明體, PMingLiU" w:hAnsi="Calibri" w:cs="Times New Roman"/>
      <w:szCs w:val="22"/>
      <w:lang w:bidi="ar-SA"/>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20"/>
    </w:pPr>
    <w:rPr>
      <w:rFonts w:ascii="Times New Roman" w:eastAsia="Times New Roman" w:hAnsi="Times New Roman"/>
      <w:szCs w:val="24"/>
    </w:r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header"/>
    <w:basedOn w:val="Standard"/>
    <w:pPr>
      <w:snapToGrid w:val="0"/>
    </w:pPr>
    <w:rPr>
      <w:sz w:val="20"/>
      <w:szCs w:val="20"/>
    </w:rPr>
  </w:style>
  <w:style w:type="paragraph" w:styleId="a6">
    <w:name w:val="footer"/>
    <w:basedOn w:val="Standard"/>
    <w:pPr>
      <w:snapToGrid w:val="0"/>
    </w:pPr>
    <w:rPr>
      <w:sz w:val="20"/>
      <w:szCs w:val="20"/>
    </w:rPr>
  </w:style>
  <w:style w:type="paragraph" w:customStyle="1" w:styleId="a7">
    <w:name w:val="公文(後續段落_主旨)"/>
    <w:basedOn w:val="Standard"/>
    <w:pPr>
      <w:widowControl/>
      <w:ind w:left="958"/>
    </w:pPr>
    <w:rPr>
      <w:rFonts w:ascii="Times New Roman" w:eastAsia="標楷體" w:hAnsi="Times New Roman"/>
      <w:sz w:val="32"/>
      <w:szCs w:val="20"/>
      <w:lang w:val="zh-TW" w:bidi="he-IL"/>
    </w:rPr>
  </w:style>
  <w:style w:type="paragraph" w:styleId="HTML">
    <w:name w:val="HTML Preformatted"/>
    <w:basedOn w:val="Standard"/>
    <w:pPr>
      <w:widowControl/>
    </w:pPr>
    <w:rPr>
      <w:rFonts w:ascii="細明體, MingLiU" w:eastAsia="細明體, MingLiU" w:hAnsi="細明體, MingLiU" w:cs="細明體, MingLiU"/>
      <w:szCs w:val="24"/>
    </w:rPr>
  </w:style>
  <w:style w:type="paragraph" w:customStyle="1" w:styleId="1">
    <w:name w:val="清單段落1"/>
    <w:basedOn w:val="Standard"/>
    <w:pPr>
      <w:ind w:left="480"/>
    </w:pPr>
    <w:rPr>
      <w:rFonts w:ascii="Times New Roman" w:eastAsia="Microsoft YaHei" w:hAnsi="Times New Roman" w:cs="Mangal"/>
      <w:szCs w:val="24"/>
      <w:lang w:bidi="hi-IN"/>
    </w:rPr>
  </w:style>
  <w:style w:type="paragraph" w:customStyle="1" w:styleId="HTML1">
    <w:name w:val="HTML 預設格式1"/>
    <w:basedOn w:val="Standard"/>
    <w:pPr>
      <w:widowControl/>
    </w:pPr>
    <w:rPr>
      <w:rFonts w:ascii="細明體, MingLiU" w:eastAsia="細明體, MingLiU" w:hAnsi="細明體, MingLiU" w:cs="細明體, MingLiU"/>
      <w:szCs w:val="24"/>
    </w:rPr>
  </w:style>
  <w:style w:type="paragraph" w:styleId="a8">
    <w:name w:val="Balloon Text"/>
    <w:basedOn w:val="Standard"/>
    <w:pPr>
      <w:ind w:left="100"/>
    </w:pPr>
    <w:rPr>
      <w:rFonts w:ascii="Cambria" w:hAnsi="Cambria"/>
      <w:sz w:val="18"/>
      <w:szCs w:val="18"/>
    </w:rPr>
  </w:style>
  <w:style w:type="paragraph" w:customStyle="1" w:styleId="Footnote">
    <w:name w:val="Footnote"/>
    <w:basedOn w:val="Standard"/>
    <w:pPr>
      <w:snapToGrid w:val="0"/>
      <w:spacing w:line="288" w:lineRule="auto"/>
      <w:ind w:left="100"/>
    </w:pPr>
    <w:rPr>
      <w:rFonts w:ascii="Times New Roman" w:hAnsi="Times New Roman"/>
      <w:sz w:val="20"/>
      <w:szCs w:val="20"/>
    </w:rPr>
  </w:style>
  <w:style w:type="paragraph" w:customStyle="1" w:styleId="a9">
    <w:name w:val="大標"/>
    <w:basedOn w:val="Standard"/>
    <w:pPr>
      <w:jc w:val="both"/>
    </w:pPr>
    <w:rPr>
      <w:rFonts w:ascii="Times New Roman" w:eastAsia="超研澤粗楷, 新細明體" w:hAnsi="Times New Roman"/>
      <w:sz w:val="40"/>
      <w:szCs w:val="20"/>
    </w:rPr>
  </w:style>
  <w:style w:type="paragraph" w:customStyle="1" w:styleId="aa">
    <w:name w:val="凸２"/>
    <w:basedOn w:val="Standard"/>
    <w:pPr>
      <w:spacing w:line="360" w:lineRule="exact"/>
      <w:ind w:left="851" w:hanging="851"/>
      <w:jc w:val="both"/>
    </w:pPr>
    <w:rPr>
      <w:rFonts w:ascii="Times New Roman" w:eastAsia="標楷體" w:hAnsi="Times New Roman"/>
      <w:sz w:val="28"/>
      <w:szCs w:val="20"/>
    </w:rPr>
  </w:style>
  <w:style w:type="paragraph" w:customStyle="1" w:styleId="ab">
    <w:name w:val="凸１"/>
    <w:basedOn w:val="Standard"/>
    <w:pPr>
      <w:spacing w:line="360" w:lineRule="exact"/>
      <w:ind w:left="567" w:hanging="567"/>
      <w:jc w:val="both"/>
    </w:pPr>
    <w:rPr>
      <w:rFonts w:ascii="Times New Roman" w:eastAsia="標楷體" w:hAnsi="Times New Roman"/>
      <w:sz w:val="28"/>
      <w:szCs w:val="20"/>
    </w:rPr>
  </w:style>
  <w:style w:type="paragraph" w:styleId="ac">
    <w:name w:val="List Paragraph"/>
    <w:basedOn w:val="Standard"/>
    <w:pPr>
      <w:ind w:left="480"/>
    </w:pPr>
  </w:style>
  <w:style w:type="paragraph" w:customStyle="1" w:styleId="Textbodyindent">
    <w:name w:val="Text body indent"/>
    <w:basedOn w:val="Standard"/>
    <w:pPr>
      <w:spacing w:line="400" w:lineRule="exact"/>
      <w:ind w:left="899" w:hanging="899"/>
    </w:pPr>
    <w:rPr>
      <w:rFonts w:ascii="標楷體" w:eastAsia="標楷體" w:hAnsi="標楷體"/>
      <w:sz w:val="32"/>
      <w:szCs w:val="20"/>
    </w:rPr>
  </w:style>
  <w:style w:type="paragraph" w:styleId="ad">
    <w:name w:val="No Spacing"/>
    <w:rPr>
      <w:rFonts w:ascii="Calibri" w:eastAsia="新細明體, PMingLiU" w:hAnsi="Calibri" w:cs="Times New Roman"/>
      <w:szCs w:val="22"/>
      <w:lang w:bidi="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color w:val="000000"/>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Calibri" w:eastAsia="Calibri" w:hAnsi="Calibri" w:cs="標楷體"/>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Calibri" w:eastAsia="Calibri" w:hAnsi="Calibri" w:cs="標楷體"/>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sz w:val="28"/>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Times New Roman" w:eastAsia="Times New Roman" w:hAnsi="Times New Roman" w:cs="Times New Roman"/>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cs="Times New Roman"/>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標楷體" w:eastAsia="標楷體" w:hAnsi="標楷體" w:cs="標楷體"/>
      <w:sz w:val="28"/>
      <w:szCs w:val="28"/>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Times New Roman"/>
      <w:color w:val="FF0000"/>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ae">
    <w:name w:val="頁首 字元"/>
    <w:rPr>
      <w:sz w:val="20"/>
      <w:szCs w:val="20"/>
    </w:rPr>
  </w:style>
  <w:style w:type="character" w:customStyle="1" w:styleId="af">
    <w:name w:val="頁尾 字元"/>
    <w:rPr>
      <w:sz w:val="20"/>
      <w:szCs w:val="20"/>
    </w:rPr>
  </w:style>
  <w:style w:type="character" w:customStyle="1" w:styleId="HTML0">
    <w:name w:val="HTML 預設格式 字元"/>
    <w:rPr>
      <w:rFonts w:ascii="細明體, MingLiU" w:eastAsia="細明體, MingLiU" w:hAnsi="細明體, MingLiU" w:cs="細明體, MingLiU"/>
      <w:kern w:val="3"/>
      <w:szCs w:val="24"/>
    </w:rPr>
  </w:style>
  <w:style w:type="character" w:customStyle="1" w:styleId="VisitedInternetLink">
    <w:name w:val="Visited Internet Link"/>
    <w:rPr>
      <w:strike w:val="0"/>
      <w:dstrike w:val="0"/>
      <w:color w:val="0033CC"/>
      <w:u w:val="none"/>
    </w:rPr>
  </w:style>
  <w:style w:type="character" w:customStyle="1" w:styleId="af0">
    <w:name w:val="註解方塊文字 字元"/>
    <w:rPr>
      <w:rFonts w:ascii="Cambria" w:eastAsia="新細明體, PMingLiU" w:hAnsi="Cambria" w:cs="Times New Roman"/>
      <w:sz w:val="18"/>
      <w:szCs w:val="18"/>
    </w:rPr>
  </w:style>
  <w:style w:type="character" w:customStyle="1" w:styleId="af1">
    <w:name w:val="註腳文字 字元"/>
    <w:rPr>
      <w:rFonts w:ascii="Times New Roman" w:eastAsia="新細明體, PMingLiU" w:hAnsi="Times New Roman" w:cs="Times New Roman"/>
      <w:sz w:val="20"/>
      <w:szCs w:val="20"/>
    </w:rPr>
  </w:style>
  <w:style w:type="character" w:customStyle="1" w:styleId="FootnoteSymbol">
    <w:name w:val="Footnote Symbol"/>
    <w:rPr>
      <w:position w:val="0"/>
      <w:vertAlign w:val="superscript"/>
    </w:rPr>
  </w:style>
  <w:style w:type="character" w:styleId="af2">
    <w:name w:val="page number"/>
    <w:rPr>
      <w:rFonts w:eastAsia="新細明體, PMingLiU" w:cs="Times New Roman"/>
      <w:bCs w:val="0"/>
      <w:iCs w:val="0"/>
      <w:szCs w:val="22"/>
      <w:lang w:eastAsia="zh-TW"/>
    </w:rPr>
  </w:style>
  <w:style w:type="character" w:customStyle="1" w:styleId="Internetlink">
    <w:name w:val="Internet link"/>
    <w:rPr>
      <w:rFonts w:ascii="Arial" w:eastAsia="Arial" w:hAnsi="Arial" w:cs="Arial"/>
      <w:color w:val="1122CC"/>
      <w:u w:val="single"/>
    </w:rPr>
  </w:style>
  <w:style w:type="character" w:customStyle="1" w:styleId="30">
    <w:name w:val="標題 3 字元"/>
    <w:rPr>
      <w:rFonts w:ascii="新細明體, PMingLiU" w:eastAsia="新細明體, PMingLiU" w:hAnsi="新細明體, PMingLiU" w:cs="新細明體, PMingLiU"/>
      <w:b/>
      <w:bCs/>
      <w:kern w:val="3"/>
      <w:sz w:val="27"/>
      <w:szCs w:val="27"/>
    </w:rPr>
  </w:style>
  <w:style w:type="character" w:customStyle="1" w:styleId="af3">
    <w:name w:val="本文縮排 字元"/>
    <w:rPr>
      <w:rFonts w:ascii="標楷體" w:eastAsia="標楷體" w:hAnsi="標楷體" w:cs="Times New Roman"/>
      <w:sz w:val="32"/>
      <w:szCs w:val="20"/>
    </w:rPr>
  </w:style>
  <w:style w:type="character" w:customStyle="1" w:styleId="af4">
    <w:name w:val="本文 字元"/>
    <w:rPr>
      <w:rFonts w:ascii="Times New Roman" w:eastAsia="Times New Roman" w:hAnsi="Times New Roman" w:cs="Times New Roman"/>
      <w:kern w:val="3"/>
      <w:sz w:val="24"/>
      <w:szCs w:val="24"/>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 w:type="numbering" w:customStyle="1" w:styleId="WW8Num24">
    <w:name w:val="WW8Num24"/>
    <w:basedOn w:val="a2"/>
    <w:pPr>
      <w:numPr>
        <w:numId w:val="24"/>
      </w:numPr>
    </w:pPr>
  </w:style>
  <w:style w:type="numbering" w:customStyle="1" w:styleId="WW8Num25">
    <w:name w:val="WW8Num25"/>
    <w:basedOn w:val="a2"/>
    <w:pPr>
      <w:numPr>
        <w:numId w:val="25"/>
      </w:numPr>
    </w:pPr>
  </w:style>
  <w:style w:type="numbering" w:customStyle="1" w:styleId="WW8Num26">
    <w:name w:val="WW8Num26"/>
    <w:basedOn w:val="a2"/>
    <w:pPr>
      <w:numPr>
        <w:numId w:val="26"/>
      </w:numPr>
    </w:pPr>
  </w:style>
  <w:style w:type="numbering" w:customStyle="1" w:styleId="WW8Num27">
    <w:name w:val="WW8Num27"/>
    <w:basedOn w:val="a2"/>
    <w:pPr>
      <w:numPr>
        <w:numId w:val="27"/>
      </w:numPr>
    </w:pPr>
  </w:style>
  <w:style w:type="numbering" w:customStyle="1" w:styleId="WW8Num28">
    <w:name w:val="WW8Num28"/>
    <w:basedOn w:val="a2"/>
    <w:pPr>
      <w:numPr>
        <w:numId w:val="28"/>
      </w:numPr>
    </w:pPr>
  </w:style>
  <w:style w:type="numbering" w:customStyle="1" w:styleId="WW8Num29">
    <w:name w:val="WW8Num29"/>
    <w:basedOn w:val="a2"/>
    <w:pPr>
      <w:numPr>
        <w:numId w:val="29"/>
      </w:numPr>
    </w:pPr>
  </w:style>
  <w:style w:type="numbering" w:customStyle="1" w:styleId="WW8Num30">
    <w:name w:val="WW8Num30"/>
    <w:basedOn w:val="a2"/>
    <w:pPr>
      <w:numPr>
        <w:numId w:val="30"/>
      </w:numPr>
    </w:pPr>
  </w:style>
  <w:style w:type="numbering" w:customStyle="1" w:styleId="WW8Num31">
    <w:name w:val="WW8Num31"/>
    <w:basedOn w:val="a2"/>
    <w:pPr>
      <w:numPr>
        <w:numId w:val="31"/>
      </w:numPr>
    </w:pPr>
  </w:style>
  <w:style w:type="numbering" w:customStyle="1" w:styleId="WW8Num32">
    <w:name w:val="WW8Num32"/>
    <w:basedOn w:val="a2"/>
    <w:pPr>
      <w:numPr>
        <w:numId w:val="32"/>
      </w:numPr>
    </w:pPr>
  </w:style>
  <w:style w:type="numbering" w:customStyle="1" w:styleId="WW8Num33">
    <w:name w:val="WW8Num33"/>
    <w:basedOn w:val="a2"/>
    <w:pPr>
      <w:numPr>
        <w:numId w:val="33"/>
      </w:numPr>
    </w:pPr>
  </w:style>
  <w:style w:type="numbering" w:customStyle="1" w:styleId="WW8Num34">
    <w:name w:val="WW8Num34"/>
    <w:basedOn w:val="a2"/>
    <w:pPr>
      <w:numPr>
        <w:numId w:val="34"/>
      </w:numPr>
    </w:pPr>
  </w:style>
  <w:style w:type="numbering" w:customStyle="1" w:styleId="WW8Num35">
    <w:name w:val="WW8Num35"/>
    <w:basedOn w:val="a2"/>
    <w:pPr>
      <w:numPr>
        <w:numId w:val="3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新細明體" w:hAnsi="Liberation Serif" w:cs="Lucida Sans"/>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Standard"/>
    <w:next w:val="Textbody"/>
    <w:pPr>
      <w:widowControl/>
      <w:spacing w:before="280" w:after="280"/>
      <w:outlineLvl w:val="2"/>
    </w:pPr>
    <w:rPr>
      <w:rFonts w:ascii="新細明體, PMingLiU" w:hAnsi="新細明體, PMingLiU" w:cs="新細明體, PMingLiU"/>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Calibri" w:eastAsia="新細明體, PMingLiU" w:hAnsi="Calibri" w:cs="Times New Roman"/>
      <w:szCs w:val="22"/>
      <w:lang w:bidi="ar-SA"/>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20"/>
    </w:pPr>
    <w:rPr>
      <w:rFonts w:ascii="Times New Roman" w:eastAsia="Times New Roman" w:hAnsi="Times New Roman"/>
      <w:szCs w:val="24"/>
    </w:r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header"/>
    <w:basedOn w:val="Standard"/>
    <w:pPr>
      <w:snapToGrid w:val="0"/>
    </w:pPr>
    <w:rPr>
      <w:sz w:val="20"/>
      <w:szCs w:val="20"/>
    </w:rPr>
  </w:style>
  <w:style w:type="paragraph" w:styleId="a6">
    <w:name w:val="footer"/>
    <w:basedOn w:val="Standard"/>
    <w:pPr>
      <w:snapToGrid w:val="0"/>
    </w:pPr>
    <w:rPr>
      <w:sz w:val="20"/>
      <w:szCs w:val="20"/>
    </w:rPr>
  </w:style>
  <w:style w:type="paragraph" w:customStyle="1" w:styleId="a7">
    <w:name w:val="公文(後續段落_主旨)"/>
    <w:basedOn w:val="Standard"/>
    <w:pPr>
      <w:widowControl/>
      <w:ind w:left="958"/>
    </w:pPr>
    <w:rPr>
      <w:rFonts w:ascii="Times New Roman" w:eastAsia="標楷體" w:hAnsi="Times New Roman"/>
      <w:sz w:val="32"/>
      <w:szCs w:val="20"/>
      <w:lang w:val="zh-TW" w:bidi="he-IL"/>
    </w:rPr>
  </w:style>
  <w:style w:type="paragraph" w:styleId="HTML">
    <w:name w:val="HTML Preformatted"/>
    <w:basedOn w:val="Standard"/>
    <w:pPr>
      <w:widowControl/>
    </w:pPr>
    <w:rPr>
      <w:rFonts w:ascii="細明體, MingLiU" w:eastAsia="細明體, MingLiU" w:hAnsi="細明體, MingLiU" w:cs="細明體, MingLiU"/>
      <w:szCs w:val="24"/>
    </w:rPr>
  </w:style>
  <w:style w:type="paragraph" w:customStyle="1" w:styleId="1">
    <w:name w:val="清單段落1"/>
    <w:basedOn w:val="Standard"/>
    <w:pPr>
      <w:ind w:left="480"/>
    </w:pPr>
    <w:rPr>
      <w:rFonts w:ascii="Times New Roman" w:eastAsia="Microsoft YaHei" w:hAnsi="Times New Roman" w:cs="Mangal"/>
      <w:szCs w:val="24"/>
      <w:lang w:bidi="hi-IN"/>
    </w:rPr>
  </w:style>
  <w:style w:type="paragraph" w:customStyle="1" w:styleId="HTML1">
    <w:name w:val="HTML 預設格式1"/>
    <w:basedOn w:val="Standard"/>
    <w:pPr>
      <w:widowControl/>
    </w:pPr>
    <w:rPr>
      <w:rFonts w:ascii="細明體, MingLiU" w:eastAsia="細明體, MingLiU" w:hAnsi="細明體, MingLiU" w:cs="細明體, MingLiU"/>
      <w:szCs w:val="24"/>
    </w:rPr>
  </w:style>
  <w:style w:type="paragraph" w:styleId="a8">
    <w:name w:val="Balloon Text"/>
    <w:basedOn w:val="Standard"/>
    <w:pPr>
      <w:ind w:left="100"/>
    </w:pPr>
    <w:rPr>
      <w:rFonts w:ascii="Cambria" w:hAnsi="Cambria"/>
      <w:sz w:val="18"/>
      <w:szCs w:val="18"/>
    </w:rPr>
  </w:style>
  <w:style w:type="paragraph" w:customStyle="1" w:styleId="Footnote">
    <w:name w:val="Footnote"/>
    <w:basedOn w:val="Standard"/>
    <w:pPr>
      <w:snapToGrid w:val="0"/>
      <w:spacing w:line="288" w:lineRule="auto"/>
      <w:ind w:left="100"/>
    </w:pPr>
    <w:rPr>
      <w:rFonts w:ascii="Times New Roman" w:hAnsi="Times New Roman"/>
      <w:sz w:val="20"/>
      <w:szCs w:val="20"/>
    </w:rPr>
  </w:style>
  <w:style w:type="paragraph" w:customStyle="1" w:styleId="a9">
    <w:name w:val="大標"/>
    <w:basedOn w:val="Standard"/>
    <w:pPr>
      <w:jc w:val="both"/>
    </w:pPr>
    <w:rPr>
      <w:rFonts w:ascii="Times New Roman" w:eastAsia="超研澤粗楷, 新細明體" w:hAnsi="Times New Roman"/>
      <w:sz w:val="40"/>
      <w:szCs w:val="20"/>
    </w:rPr>
  </w:style>
  <w:style w:type="paragraph" w:customStyle="1" w:styleId="aa">
    <w:name w:val="凸２"/>
    <w:basedOn w:val="Standard"/>
    <w:pPr>
      <w:spacing w:line="360" w:lineRule="exact"/>
      <w:ind w:left="851" w:hanging="851"/>
      <w:jc w:val="both"/>
    </w:pPr>
    <w:rPr>
      <w:rFonts w:ascii="Times New Roman" w:eastAsia="標楷體" w:hAnsi="Times New Roman"/>
      <w:sz w:val="28"/>
      <w:szCs w:val="20"/>
    </w:rPr>
  </w:style>
  <w:style w:type="paragraph" w:customStyle="1" w:styleId="ab">
    <w:name w:val="凸１"/>
    <w:basedOn w:val="Standard"/>
    <w:pPr>
      <w:spacing w:line="360" w:lineRule="exact"/>
      <w:ind w:left="567" w:hanging="567"/>
      <w:jc w:val="both"/>
    </w:pPr>
    <w:rPr>
      <w:rFonts w:ascii="Times New Roman" w:eastAsia="標楷體" w:hAnsi="Times New Roman"/>
      <w:sz w:val="28"/>
      <w:szCs w:val="20"/>
    </w:rPr>
  </w:style>
  <w:style w:type="paragraph" w:styleId="ac">
    <w:name w:val="List Paragraph"/>
    <w:basedOn w:val="Standard"/>
    <w:pPr>
      <w:ind w:left="480"/>
    </w:pPr>
  </w:style>
  <w:style w:type="paragraph" w:customStyle="1" w:styleId="Textbodyindent">
    <w:name w:val="Text body indent"/>
    <w:basedOn w:val="Standard"/>
    <w:pPr>
      <w:spacing w:line="400" w:lineRule="exact"/>
      <w:ind w:left="899" w:hanging="899"/>
    </w:pPr>
    <w:rPr>
      <w:rFonts w:ascii="標楷體" w:eastAsia="標楷體" w:hAnsi="標楷體"/>
      <w:sz w:val="32"/>
      <w:szCs w:val="20"/>
    </w:rPr>
  </w:style>
  <w:style w:type="paragraph" w:styleId="ad">
    <w:name w:val="No Spacing"/>
    <w:rPr>
      <w:rFonts w:ascii="Calibri" w:eastAsia="新細明體, PMingLiU" w:hAnsi="Calibri" w:cs="Times New Roman"/>
      <w:szCs w:val="22"/>
      <w:lang w:bidi="ar-SA"/>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color w:val="000000"/>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Calibri" w:eastAsia="Calibri" w:hAnsi="Calibri" w:cs="標楷體"/>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Calibri" w:eastAsia="Calibri" w:hAnsi="Calibri" w:cs="標楷體"/>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sz w:val="28"/>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Times New Roman" w:eastAsia="Times New Roman" w:hAnsi="Times New Roman" w:cs="Times New Roman"/>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cs="Times New Roman"/>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標楷體" w:eastAsia="標楷體" w:hAnsi="標楷體" w:cs="標楷體"/>
      <w:sz w:val="28"/>
      <w:szCs w:val="28"/>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Times New Roman"/>
      <w:color w:val="FF0000"/>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ae">
    <w:name w:val="頁首 字元"/>
    <w:rPr>
      <w:sz w:val="20"/>
      <w:szCs w:val="20"/>
    </w:rPr>
  </w:style>
  <w:style w:type="character" w:customStyle="1" w:styleId="af">
    <w:name w:val="頁尾 字元"/>
    <w:rPr>
      <w:sz w:val="20"/>
      <w:szCs w:val="20"/>
    </w:rPr>
  </w:style>
  <w:style w:type="character" w:customStyle="1" w:styleId="HTML0">
    <w:name w:val="HTML 預設格式 字元"/>
    <w:rPr>
      <w:rFonts w:ascii="細明體, MingLiU" w:eastAsia="細明體, MingLiU" w:hAnsi="細明體, MingLiU" w:cs="細明體, MingLiU"/>
      <w:kern w:val="3"/>
      <w:szCs w:val="24"/>
    </w:rPr>
  </w:style>
  <w:style w:type="character" w:customStyle="1" w:styleId="VisitedInternetLink">
    <w:name w:val="Visited Internet Link"/>
    <w:rPr>
      <w:strike w:val="0"/>
      <w:dstrike w:val="0"/>
      <w:color w:val="0033CC"/>
      <w:u w:val="none"/>
    </w:rPr>
  </w:style>
  <w:style w:type="character" w:customStyle="1" w:styleId="af0">
    <w:name w:val="註解方塊文字 字元"/>
    <w:rPr>
      <w:rFonts w:ascii="Cambria" w:eastAsia="新細明體, PMingLiU" w:hAnsi="Cambria" w:cs="Times New Roman"/>
      <w:sz w:val="18"/>
      <w:szCs w:val="18"/>
    </w:rPr>
  </w:style>
  <w:style w:type="character" w:customStyle="1" w:styleId="af1">
    <w:name w:val="註腳文字 字元"/>
    <w:rPr>
      <w:rFonts w:ascii="Times New Roman" w:eastAsia="新細明體, PMingLiU" w:hAnsi="Times New Roman" w:cs="Times New Roman"/>
      <w:sz w:val="20"/>
      <w:szCs w:val="20"/>
    </w:rPr>
  </w:style>
  <w:style w:type="character" w:customStyle="1" w:styleId="FootnoteSymbol">
    <w:name w:val="Footnote Symbol"/>
    <w:rPr>
      <w:position w:val="0"/>
      <w:vertAlign w:val="superscript"/>
    </w:rPr>
  </w:style>
  <w:style w:type="character" w:styleId="af2">
    <w:name w:val="page number"/>
    <w:rPr>
      <w:rFonts w:eastAsia="新細明體, PMingLiU" w:cs="Times New Roman"/>
      <w:bCs w:val="0"/>
      <w:iCs w:val="0"/>
      <w:szCs w:val="22"/>
      <w:lang w:eastAsia="zh-TW"/>
    </w:rPr>
  </w:style>
  <w:style w:type="character" w:customStyle="1" w:styleId="Internetlink">
    <w:name w:val="Internet link"/>
    <w:rPr>
      <w:rFonts w:ascii="Arial" w:eastAsia="Arial" w:hAnsi="Arial" w:cs="Arial"/>
      <w:color w:val="1122CC"/>
      <w:u w:val="single"/>
    </w:rPr>
  </w:style>
  <w:style w:type="character" w:customStyle="1" w:styleId="30">
    <w:name w:val="標題 3 字元"/>
    <w:rPr>
      <w:rFonts w:ascii="新細明體, PMingLiU" w:eastAsia="新細明體, PMingLiU" w:hAnsi="新細明體, PMingLiU" w:cs="新細明體, PMingLiU"/>
      <w:b/>
      <w:bCs/>
      <w:kern w:val="3"/>
      <w:sz w:val="27"/>
      <w:szCs w:val="27"/>
    </w:rPr>
  </w:style>
  <w:style w:type="character" w:customStyle="1" w:styleId="af3">
    <w:name w:val="本文縮排 字元"/>
    <w:rPr>
      <w:rFonts w:ascii="標楷體" w:eastAsia="標楷體" w:hAnsi="標楷體" w:cs="Times New Roman"/>
      <w:sz w:val="32"/>
      <w:szCs w:val="20"/>
    </w:rPr>
  </w:style>
  <w:style w:type="character" w:customStyle="1" w:styleId="af4">
    <w:name w:val="本文 字元"/>
    <w:rPr>
      <w:rFonts w:ascii="Times New Roman" w:eastAsia="Times New Roman" w:hAnsi="Times New Roman" w:cs="Times New Roman"/>
      <w:kern w:val="3"/>
      <w:sz w:val="24"/>
      <w:szCs w:val="24"/>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 w:type="numbering" w:customStyle="1" w:styleId="WW8Num24">
    <w:name w:val="WW8Num24"/>
    <w:basedOn w:val="a2"/>
    <w:pPr>
      <w:numPr>
        <w:numId w:val="24"/>
      </w:numPr>
    </w:pPr>
  </w:style>
  <w:style w:type="numbering" w:customStyle="1" w:styleId="WW8Num25">
    <w:name w:val="WW8Num25"/>
    <w:basedOn w:val="a2"/>
    <w:pPr>
      <w:numPr>
        <w:numId w:val="25"/>
      </w:numPr>
    </w:pPr>
  </w:style>
  <w:style w:type="numbering" w:customStyle="1" w:styleId="WW8Num26">
    <w:name w:val="WW8Num26"/>
    <w:basedOn w:val="a2"/>
    <w:pPr>
      <w:numPr>
        <w:numId w:val="26"/>
      </w:numPr>
    </w:pPr>
  </w:style>
  <w:style w:type="numbering" w:customStyle="1" w:styleId="WW8Num27">
    <w:name w:val="WW8Num27"/>
    <w:basedOn w:val="a2"/>
    <w:pPr>
      <w:numPr>
        <w:numId w:val="27"/>
      </w:numPr>
    </w:pPr>
  </w:style>
  <w:style w:type="numbering" w:customStyle="1" w:styleId="WW8Num28">
    <w:name w:val="WW8Num28"/>
    <w:basedOn w:val="a2"/>
    <w:pPr>
      <w:numPr>
        <w:numId w:val="28"/>
      </w:numPr>
    </w:pPr>
  </w:style>
  <w:style w:type="numbering" w:customStyle="1" w:styleId="WW8Num29">
    <w:name w:val="WW8Num29"/>
    <w:basedOn w:val="a2"/>
    <w:pPr>
      <w:numPr>
        <w:numId w:val="29"/>
      </w:numPr>
    </w:pPr>
  </w:style>
  <w:style w:type="numbering" w:customStyle="1" w:styleId="WW8Num30">
    <w:name w:val="WW8Num30"/>
    <w:basedOn w:val="a2"/>
    <w:pPr>
      <w:numPr>
        <w:numId w:val="30"/>
      </w:numPr>
    </w:pPr>
  </w:style>
  <w:style w:type="numbering" w:customStyle="1" w:styleId="WW8Num31">
    <w:name w:val="WW8Num31"/>
    <w:basedOn w:val="a2"/>
    <w:pPr>
      <w:numPr>
        <w:numId w:val="31"/>
      </w:numPr>
    </w:pPr>
  </w:style>
  <w:style w:type="numbering" w:customStyle="1" w:styleId="WW8Num32">
    <w:name w:val="WW8Num32"/>
    <w:basedOn w:val="a2"/>
    <w:pPr>
      <w:numPr>
        <w:numId w:val="32"/>
      </w:numPr>
    </w:pPr>
  </w:style>
  <w:style w:type="numbering" w:customStyle="1" w:styleId="WW8Num33">
    <w:name w:val="WW8Num33"/>
    <w:basedOn w:val="a2"/>
    <w:pPr>
      <w:numPr>
        <w:numId w:val="33"/>
      </w:numPr>
    </w:pPr>
  </w:style>
  <w:style w:type="numbering" w:customStyle="1" w:styleId="WW8Num34">
    <w:name w:val="WW8Num34"/>
    <w:basedOn w:val="a2"/>
    <w:pPr>
      <w:numPr>
        <w:numId w:val="34"/>
      </w:numPr>
    </w:pPr>
  </w:style>
  <w:style w:type="numbering" w:customStyle="1" w:styleId="WW8Num35">
    <w:name w:val="WW8Num35"/>
    <w:basedOn w:val="a2"/>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402</Words>
  <Characters>2292</Characters>
  <Application>Microsoft Office Word</Application>
  <DocSecurity>0</DocSecurity>
  <Lines>19</Lines>
  <Paragraphs>5</Paragraphs>
  <ScaleCrop>false</ScaleCrop>
  <Company/>
  <LinksUpToDate>false</LinksUpToDate>
  <CharactersWithSpaces>2689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短期補習班設立及管理準則草案總說明</dc:title>
  <dc:creator>Win7User</dc:creator>
  <cp:lastModifiedBy>莊曉如</cp:lastModifiedBy>
  <cp:revision>2</cp:revision>
  <cp:lastPrinted>2018-10-24T20:09:00Z</cp:lastPrinted>
  <dcterms:created xsi:type="dcterms:W3CDTF">2020-09-04T02:02:00Z</dcterms:created>
  <dcterms:modified xsi:type="dcterms:W3CDTF">2020-09-04T02:02:00Z</dcterms:modified>
</cp:coreProperties>
</file>